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D45" w:rsidRPr="00BC1D45" w:rsidRDefault="00BC1D45" w:rsidP="00BC1D45">
      <w:pPr>
        <w:pStyle w:val="Sottotitolo"/>
        <w:ind w:right="566" w:firstLine="283"/>
        <w:jc w:val="right"/>
        <w:rPr>
          <w:rFonts w:ascii="Times New Roman" w:eastAsia="DotumChe" w:hAnsi="Times New Roman" w:cs="Times New Roman"/>
          <w:b/>
          <w:i w:val="0"/>
          <w:color w:val="auto"/>
          <w:sz w:val="48"/>
        </w:rPr>
      </w:pPr>
      <w:bookmarkStart w:id="0" w:name="_GoBack"/>
      <w:r w:rsidRPr="00BC1D45">
        <w:rPr>
          <w:rFonts w:ascii="Times New Roman" w:eastAsia="DotumChe" w:hAnsi="Times New Roman" w:cs="Times New Roman"/>
          <w:b/>
          <w:i w:val="0"/>
          <w:color w:val="auto"/>
          <w:sz w:val="48"/>
        </w:rPr>
        <w:t>INDUISMO</w:t>
      </w:r>
      <w:r w:rsidRPr="00BC1D45">
        <w:rPr>
          <w:rFonts w:ascii="Times New Roman" w:eastAsia="DotumChe" w:hAnsi="Times New Roman" w:cs="Times New Roman"/>
          <w:b/>
          <w:i w:val="0"/>
          <w:color w:val="auto"/>
          <w:sz w:val="48"/>
        </w:rPr>
        <w:t xml:space="preserve">  7 </w:t>
      </w:r>
    </w:p>
    <w:bookmarkEnd w:id="0"/>
    <w:p w:rsidR="00817874" w:rsidRDefault="00817874" w:rsidP="00817874">
      <w:pPr>
        <w:pStyle w:val="Sottotitolo"/>
        <w:ind w:right="566" w:firstLine="283"/>
        <w:jc w:val="center"/>
        <w:rPr>
          <w:rFonts w:ascii="Times New Roman" w:eastAsia="DotumChe" w:hAnsi="Times New Roman" w:cs="Times New Roman"/>
          <w:b/>
          <w:i w:val="0"/>
        </w:rPr>
      </w:pPr>
      <w:r>
        <w:rPr>
          <w:rFonts w:ascii="Times New Roman" w:eastAsia="DotumChe" w:hAnsi="Times New Roman" w:cs="Times New Roman"/>
          <w:b/>
          <w:i w:val="0"/>
          <w:color w:val="auto"/>
        </w:rPr>
        <w:t>CORSO DI STORIA DELL’INDUISMO</w:t>
      </w:r>
    </w:p>
    <w:p w:rsidR="00817874" w:rsidRDefault="00817874" w:rsidP="00817874">
      <w:pPr>
        <w:pStyle w:val="Titolo1"/>
        <w:tabs>
          <w:tab w:val="left" w:pos="-2977"/>
          <w:tab w:val="left" w:pos="-2552"/>
          <w:tab w:val="left" w:pos="-1134"/>
        </w:tabs>
        <w:ind w:left="851" w:right="566" w:firstLine="283"/>
        <w:jc w:val="center"/>
      </w:pPr>
      <w:r>
        <w:t>ANNO ACCADEMICO 2023– 2024</w:t>
      </w:r>
    </w:p>
    <w:p w:rsidR="00817874" w:rsidRDefault="00817874" w:rsidP="00817874">
      <w:pPr>
        <w:pStyle w:val="Titolo1"/>
        <w:tabs>
          <w:tab w:val="left" w:pos="-2977"/>
          <w:tab w:val="left" w:pos="-2552"/>
          <w:tab w:val="left" w:pos="-1134"/>
          <w:tab w:val="left" w:pos="709"/>
          <w:tab w:val="left" w:pos="1997"/>
          <w:tab w:val="left" w:pos="2040"/>
        </w:tabs>
        <w:ind w:left="851" w:right="566" w:firstLine="283"/>
        <w:jc w:val="left"/>
      </w:pPr>
      <w:r>
        <w:tab/>
      </w:r>
      <w:r>
        <w:tab/>
      </w:r>
    </w:p>
    <w:p w:rsidR="00817874" w:rsidRDefault="00817874" w:rsidP="00817874">
      <w:pPr>
        <w:pStyle w:val="Titolo1"/>
        <w:tabs>
          <w:tab w:val="left" w:pos="-2977"/>
          <w:tab w:val="left" w:pos="-2552"/>
          <w:tab w:val="left" w:pos="-1134"/>
        </w:tabs>
        <w:ind w:left="851" w:right="566" w:firstLine="283"/>
        <w:jc w:val="center"/>
      </w:pPr>
      <w:proofErr w:type="gramStart"/>
      <w:r>
        <w:t>Lezione  7</w:t>
      </w:r>
      <w:proofErr w:type="gramEnd"/>
      <w:r>
        <w:t>° - 21 novembre 2023</w:t>
      </w:r>
    </w:p>
    <w:p w:rsidR="00817874" w:rsidRDefault="00817874" w:rsidP="00817874">
      <w:pPr>
        <w:ind w:left="851" w:right="566" w:firstLine="283"/>
        <w:rPr>
          <w:lang w:eastAsia="it-IT"/>
        </w:rPr>
      </w:pP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1 . A partire dall’età ellenistica da quando cioè giunsero nel mondo greco i resoconti degli incontri di Alessandro Magno con i gimnosofisti, i saggi nudi indiani, e della loro lezione esemplare di saggezza e distacco, l’India con i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>suoi  asceti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e con i suoi santi, ma anche con le sue favolose ricchezze, è sempre stata presente nell’immaginario occidentale come la terra incantata della spiritualità.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Per esempio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Plotino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cercò di giungere in India aggregandosi alla sfortunata spedizione militare dell’imperatore gordiano, e Dante nel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 Paradiso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prende lo spunto da una figura esemplare di indiano virtuoso, per porre il problema capitale della giustizia divina e della salvezza per chi non ha conosciuto il Cristo.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Ma di solito l’interesse per la spiritualità induistica era più che altro un fenomeno di simpatia intellettuale, che generalmente non comportava adesioni o conversioni. Da qualche decennio non è più così e non tanto perché varie persone hanno aderito a scelte di vita monastica, entrando a far parte di ordini missionari come quello di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Vivekananda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ma perché l’induismo o almeno alcuni suoi maestri, si è mostrato disponibile ad accogliere fra le sue fila persone di origine non indiana.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Non essendo possibile tentare un quadro complessivo dei maestri e dei movimenti induisti in Occidente, anche perché in questo campo ci sono sempre novità e variano le mode, ci si dovrà accontentare della segnalazione di alcune grandi tendenze e figure di maestri.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2 . E si prescinde dal successo sempre verde dello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yoga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, talora ridotto a pratica di palestra, nel grande filone della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fitness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e di analoghe mode, ma non di rado praticato con attenzione alla disciplina meditativa anche modificando lo stile della propria vita.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Sicuramente induista nelle sue basi e nella sostanza, e con una forte spinta missionaria, è il movimento degli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Hara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Krihsna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diffuso in Occidente dallo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Swama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>Bhaktivedana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Prabhupad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il quale trasferitosi a New York, vi fondò nel 1966 l’International Society for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Krihna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Consciousness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che poi si è propagata in tutto il mondo, dandosi anche una base economica e organizzativa piuttosto solida. Il movimento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Hara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Krihsna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trova la sua forza nella riproposizione di una disciplina religiosa intensiva, puritana, che deve diventare veramente il centro della vita dei devoti, con un impegno durissimo e totalizzante, a partire da ben prima dell’alba, in un’esistenza che deve trascorrere tra invocazioni del nome divino, canti di lode, attività varie a favore e in propaganda del gruppo devozionale.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>L’India e l’induismo hanno molto da dire e da dare in questi campi, soprattutto con le discipline meditative e di perfezionamento interiore, anche favorendo la riscoperta di valori e arti dello spirito che sono in parte del nostro passato. Del resto, nel processo di globalizzazione culturale che pare inevitabile, e non è certo senza rischi, ogni cultura deve poter dare il suo apporto. Ma è importante che questo incontro con tradizioni spirituali così ricche avvenga nella consapevolezza di chi, partecipe della grande avventura intellettuale dell’Occidente, senza rinnegare questa ricchezza, ne voglia superare i limiti dilatandoli con quelle concezioni e pratiche che sono state la gloria dei saggi e dei sapienti dell’India.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Riprendendo e continuando il nostro approfondimento, per gli indiani l’universo non deve la sua esistenza a una volontà creatrice divina: è senza principio e senza fine, coinvolto in un processo di continuo divenire, in un susseguirsi di cicli cosmici.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3 . Gli indiani hanno avuto scarsissimo interesse per la cronologia e la misurazione precisa del tempo, si sono preoccupati piuttosto del tempo come forza suprema nell’universale caducità. La loro concezione del tempo e del suo articolarsi attraverso il divenire ciclico risulta al meglio nei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Purana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che ne disegnano un insieme di ricchezze antichissime.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Per non smarrire subito un quadro di riferimento con misure non ancora spropositate conviene forse partire dalle ere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yuga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del nostro ciclo: che è cominciato, come secondo la tradizione greca, con un’età di grande perfezione cui hanno tenuto dietro altre tre ere di decadenza progressiva: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treta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dvapara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e infine la nostra,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kaliyuga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“età della discordia”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kali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it-IT"/>
        </w:rPr>
        <w:t>)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. Calcolando anche i crepuscoli precedenti o seguenti, la prima dura 4.800 anni divini (un anno divino equivale a 360 anni umani), la seconda 3600, la terza 2400, la quarta e ultima 1200 anni divini. L’insieme degli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yuga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costituisce un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mahayuga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(grande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yuga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) per un totale di 12000 anni divini. Mille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mahayuga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costituiscono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un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kalpa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cioè un giorno del dio cosmico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Brahman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la cui vita è di 100 anni, vale a dire 432.000.000.000 di anni divini.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4 .  La concezione indiana dell’universo è improntata alla stessa grandiosità: secondo un’immagine molto frequente, è una specie di uovo, formato da più strati concentrici, alcuni celesti (il mondo della verità, delle vacche, i cieli dei singoli ecc.), scendendo fino al mondo della terra e delle regioni sotterranee, la più bassa delle quali è costituita dal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naraka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gli “inferni”, luoghi di punizione e di pena, peraltro generalmente considerate temporanee, anche se di durata lunghissima.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La terra poi è suddivisa in sette parti concentriche, chiamate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dvipa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(“isole”), separate tra loro da sette oceani dai nomi fantasiosi (di vino, di latte, ecc.).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Jambudvipa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(“isola della melarosa) è il continente centrale, la cui parte meridionale è l’India,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Bharatavarsa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“terra dei discendenti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Bharata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il progenitore degli eroi del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Mahabharata.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 xml:space="preserve">Le concezioni induistiche della divinità possono sembrare persino contraddittorie: si parla troppo semplicemente del numero degli dei dando le cifre più varie. Non solo: una divinità può assumere funzioni o aspetti di un’altra. Sono atteggiamenti attestati fin dagli inni vedici, come anche la tendenza a vedere un’unità di fondo. La considerazione del dio supremo varia a seconda delle dottrine. Col dio supremo si può identificare, ma non sempre, la cosiddetta divinità di elezione, cioè il dio con cui si ha un rapporto preferenziale di devozione e di affetto: può essere un dio caro per tradizione familiare, o perché in condizione di pericolo o di bisogno si è rivelato pronto al soccorso, o perché per qualunque altro motivo è avvenuto un incontro gratificante tra umano e divino.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Dal dio supremo si distinguono le divinità alle quali compete una particolare funzione nell’amministrazione del mondo, o gli dei mitologici che vivono tra piaceri eccellenti nei loro cieli o paradisi: questi dei fruiscono di una condizione che finirà quando si esauriscono i frutti delle opere che le hanno portate a tale posizione. Ad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ese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succederanno altre divinità con lo stesso nome e con le stesse funzioni.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Come si è detto, tre divinità sono soprattutto popolari e da parecchi secoli nell’induismo: Siva,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Visnu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e la Dea madre. A loro si richiamano varie correnti devozionali, secondo alcuni raggruppabili in tre vere e proprie religioni.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Siva, a parte i possibili antecedenti nella civiltà di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Mohengio-daro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e di Harappa, e la presenza nella fase più antica del vedismo, ma solo come epiteto di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Rudra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acquista vita propria alla conclusione di questo periodo, continuando in sé tratti caratteristici di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Rudra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ma incorporandone altre di varie figure divine. 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5 . Questa incorporazione spiega la molteplicità delle forme e la varietà dei campi di azione e dei poteri con cui si presenta nella fase matura dell’induismo. Innanzi tutto c’è uno Siva violento e terribile come suonano due suoi epiteti; sotto questo aspetto è identificato con il tempo distruttore e con la morte. La famosa danza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tandava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nell’atto della quale è spesso rappresentato, rappresenta il suo potere di distruttore del mondo. Siva è anche il dio degli asceti che cercano o realizzano la vittoria sul tempo: è il signore dello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Yoga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, il primo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>yogin.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Viene rappresentato come un grande asceta: seminudo, con il corpo cosparso di cenere, cinto di teschi, adorno di serpenti, assiso in meditazione. Ma è anche dio molto meno tremendo di quanto non lascino pensare la violenza del distruttore o l’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autoviolenza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che si infligge l’asceta: è dio della fecondità e della generazione, adorato sotto il simbolo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del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linga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ha come necessaria controparte femminile la </w:t>
      </w: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it-IT"/>
        </w:rPr>
        <w:t>yoni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(matrice). Suo veicolo, cioè animale connesso, è il toro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Nandin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. È sposo felice di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Durga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ed è il padre del dio della guerra a sei teste,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Skabda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e del signore degli ostacoli, dalla testa elefantina.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A Siva si richiamano diverse correnti religiose. Lo sivaismo è un insieme molteplice di credenze, culti, dottrine. Sappiamo qualcosa dei suoi devoti quando sono confluiti in gruppi; </w:t>
      </w: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 xml:space="preserve">mentre dei suoi devoti singoli non sappiamo nulla, tranne che i casi di personaggi eccezionali che hanno lasciato memoria di sé. La diffusione dello sivaismo fu favorita da dinastie regali, come i Cola nell’India meridionale, da dove lo sivaismo si diffuse poi nel Sudest asiatico. 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Tra le correnti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sivaite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più antiche merita una menzione quella del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Pasupata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(seguaci del signore degli animali), asceti dediti a una vita volutamente indecorosa: erano sporchi, russavano, e facendosi deridere credevano così di acquisire merito spirituale. Degni d’interesse anche i seguaci dello Siva terrifico, dediti a sacrifici umani: come i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Kalika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, gli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Aghora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817874" w:rsidRDefault="00817874" w:rsidP="00817874">
      <w:pPr>
        <w:spacing w:after="0" w:line="360" w:lineRule="auto"/>
        <w:ind w:left="851" w:right="566" w:firstLine="283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17874" w:rsidRDefault="00817874" w:rsidP="00817874">
      <w:pPr>
        <w:pStyle w:val="Sottotitolo"/>
        <w:ind w:right="566" w:firstLine="283"/>
        <w:jc w:val="center"/>
        <w:rPr>
          <w:rFonts w:ascii="Times New Roman" w:eastAsia="DotumChe" w:hAnsi="Times New Roman" w:cs="Times New Roman"/>
          <w:b/>
          <w:i w:val="0"/>
          <w:color w:val="auto"/>
        </w:rPr>
      </w:pPr>
    </w:p>
    <w:p w:rsidR="00AB74BE" w:rsidRDefault="00AB74BE"/>
    <w:sectPr w:rsidR="00AB74BE" w:rsidSect="00BC1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74"/>
    <w:rsid w:val="00817874"/>
    <w:rsid w:val="00AB74BE"/>
    <w:rsid w:val="00B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7FBB"/>
  <w15:chartTrackingRefBased/>
  <w15:docId w15:val="{E30E2479-A5CD-4987-BF40-67B6AA46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7874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817874"/>
    <w:pPr>
      <w:keepNext/>
      <w:spacing w:after="0" w:line="240" w:lineRule="auto"/>
      <w:ind w:left="1080" w:right="518" w:hanging="142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17874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7874"/>
    <w:pPr>
      <w:spacing w:line="252" w:lineRule="auto"/>
      <w:ind w:left="851" w:hanging="142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78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2</cp:revision>
  <dcterms:created xsi:type="dcterms:W3CDTF">2023-11-14T07:20:00Z</dcterms:created>
  <dcterms:modified xsi:type="dcterms:W3CDTF">2023-11-21T07:45:00Z</dcterms:modified>
</cp:coreProperties>
</file>