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503" w:rsidRPr="00961503" w:rsidRDefault="00961503" w:rsidP="00961503">
      <w:pPr>
        <w:pStyle w:val="Sottotitolo"/>
        <w:ind w:right="991" w:firstLine="283"/>
        <w:jc w:val="right"/>
        <w:rPr>
          <w:rFonts w:ascii="Times New Roman" w:eastAsia="DotumChe" w:hAnsi="Times New Roman" w:cs="Times New Roman"/>
          <w:b/>
          <w:i w:val="0"/>
          <w:color w:val="auto"/>
          <w:sz w:val="48"/>
        </w:rPr>
      </w:pPr>
      <w:bookmarkStart w:id="0" w:name="_GoBack"/>
      <w:r w:rsidRPr="00961503">
        <w:rPr>
          <w:rFonts w:ascii="Times New Roman" w:eastAsia="DotumChe" w:hAnsi="Times New Roman" w:cs="Times New Roman"/>
          <w:b/>
          <w:i w:val="0"/>
          <w:color w:val="auto"/>
          <w:sz w:val="48"/>
        </w:rPr>
        <w:t>INDUISMO</w:t>
      </w:r>
      <w:r w:rsidRPr="00961503">
        <w:rPr>
          <w:rFonts w:ascii="Times New Roman" w:eastAsia="DotumChe" w:hAnsi="Times New Roman" w:cs="Times New Roman"/>
          <w:b/>
          <w:i w:val="0"/>
          <w:color w:val="auto"/>
          <w:sz w:val="48"/>
        </w:rPr>
        <w:t xml:space="preserve">  9 </w:t>
      </w:r>
    </w:p>
    <w:bookmarkEnd w:id="0"/>
    <w:p w:rsidR="00F45931" w:rsidRDefault="00961503" w:rsidP="00EF789D">
      <w:pPr>
        <w:pStyle w:val="Sottotitolo"/>
        <w:ind w:right="991" w:firstLine="283"/>
        <w:jc w:val="center"/>
        <w:rPr>
          <w:rFonts w:ascii="Times New Roman" w:eastAsia="DotumChe" w:hAnsi="Times New Roman" w:cs="Times New Roman"/>
          <w:b/>
          <w:i w:val="0"/>
        </w:rPr>
      </w:pPr>
      <w:r>
        <w:rPr>
          <w:rFonts w:ascii="Times New Roman" w:eastAsia="DotumChe" w:hAnsi="Times New Roman" w:cs="Times New Roman"/>
          <w:b/>
          <w:i w:val="0"/>
          <w:color w:val="auto"/>
        </w:rPr>
        <w:br/>
      </w:r>
      <w:r w:rsidR="00F45931">
        <w:rPr>
          <w:rFonts w:ascii="Times New Roman" w:eastAsia="DotumChe" w:hAnsi="Times New Roman" w:cs="Times New Roman"/>
          <w:b/>
          <w:i w:val="0"/>
          <w:color w:val="auto"/>
        </w:rPr>
        <w:t>CORSO DI STORIA DELL’INDUISMO</w:t>
      </w:r>
    </w:p>
    <w:p w:rsidR="00F45931" w:rsidRDefault="00F45931" w:rsidP="00F45931">
      <w:pPr>
        <w:pStyle w:val="Titolo1"/>
        <w:tabs>
          <w:tab w:val="left" w:pos="-2977"/>
          <w:tab w:val="left" w:pos="-2552"/>
          <w:tab w:val="left" w:pos="-1134"/>
        </w:tabs>
        <w:ind w:left="851" w:right="566" w:firstLine="283"/>
        <w:jc w:val="center"/>
      </w:pPr>
      <w:r>
        <w:t>ANNO ACCADEMICO 2023– 2024</w:t>
      </w:r>
    </w:p>
    <w:p w:rsidR="00F45931" w:rsidRDefault="00F45931" w:rsidP="00F45931">
      <w:pPr>
        <w:pStyle w:val="Titolo1"/>
        <w:tabs>
          <w:tab w:val="left" w:pos="-2977"/>
          <w:tab w:val="left" w:pos="-2552"/>
          <w:tab w:val="left" w:pos="-1134"/>
          <w:tab w:val="left" w:pos="709"/>
          <w:tab w:val="left" w:pos="1997"/>
          <w:tab w:val="left" w:pos="2040"/>
        </w:tabs>
        <w:ind w:left="851" w:right="566" w:firstLine="283"/>
        <w:jc w:val="left"/>
      </w:pPr>
      <w:r>
        <w:tab/>
      </w:r>
      <w:r>
        <w:tab/>
      </w:r>
    </w:p>
    <w:p w:rsidR="00F45931" w:rsidRDefault="00F45931" w:rsidP="00F45931">
      <w:pPr>
        <w:pStyle w:val="Titolo1"/>
        <w:tabs>
          <w:tab w:val="left" w:pos="-2977"/>
          <w:tab w:val="left" w:pos="-2552"/>
          <w:tab w:val="left" w:pos="-1134"/>
        </w:tabs>
        <w:ind w:left="851" w:right="566" w:firstLine="283"/>
        <w:jc w:val="center"/>
      </w:pPr>
      <w:r>
        <w:t>Lezione 9° - 5 dicembre 2023</w:t>
      </w:r>
    </w:p>
    <w:p w:rsidR="00F45931" w:rsidRDefault="00F45931" w:rsidP="00F45931">
      <w:pPr>
        <w:ind w:left="851" w:right="566" w:firstLine="283"/>
        <w:rPr>
          <w:lang w:eastAsia="it-IT"/>
        </w:rPr>
      </w:pPr>
    </w:p>
    <w:p w:rsidR="00F45931" w:rsidRDefault="00F45931" w:rsidP="00EF789D">
      <w:pPr>
        <w:tabs>
          <w:tab w:val="left" w:pos="851"/>
        </w:tabs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lang w:eastAsia="it-IT"/>
        </w:rPr>
        <w:t xml:space="preserve">1 .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Di solito noi vediamo l’uomo come insieme di anima e di corpo, però non pochi esoteristi, spiritisti e occultisti la pensano diversamente. Per gli indiani le cose sono più complesse. La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Taittiriya-upanisad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parla di cinque involucri che via via più sottili, nascondono il principio autentico del nostro essere: sono fatti di cibo, di soffi vitali, di pensiero, di coscienza e di beatitudine. Altre concezioni molto diffuse sviluppate soprattutto in ambiente tantrico e yogico, distinguono – oltre allo spirito e al corpo materiale, il corpo sottile, che, pur sempre appartenendo al mondo della natura, consta della parte meno grossolana di questa ed è percorso da migliaia di arterie.</w:t>
      </w:r>
    </w:p>
    <w:p w:rsidR="00F45931" w:rsidRDefault="00F45931" w:rsidP="00EF789D">
      <w:pPr>
        <w:tabs>
          <w:tab w:val="left" w:pos="851"/>
        </w:tabs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Le più importanti sono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Ida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a sinistra,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Pingala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>a destra e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Susumma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al centro. Costituiscono una specie di spina dorsale non fisica: lungo la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Susumma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sono collocati vari cerchi che partono dal perineo e simboleggiano stati di coscienza sempre più elevati, cui si può accedere in condizioni particolari. </w:t>
      </w:r>
    </w:p>
    <w:p w:rsidR="00F45931" w:rsidRDefault="00F45931" w:rsidP="00EF789D">
      <w:pPr>
        <w:tabs>
          <w:tab w:val="left" w:pos="851"/>
        </w:tabs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L’esperienza quotidiana dell’uomo, secondo il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Mandukya-upanisad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che sviluppa una breve analisi dei suoni che compongono , secondo la fonologia indiana, la sillaba sacra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si svolge attraverso tre stati di coscienza: di veglia, nel quale conosce il mondo materiale, di sogno, in cui si ha esperienza di un mondo separato; di sonno profondo che viene chiamato “di coscienza”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prajna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>): infatti in contrasto con quello che pensiamo comunemente, il sonno senza sogni viene ritenuto una condizione nella quale la coscienza è vigile come può provare il fatto che svegliandoci diciamo di non aver sognato  (dunque c’era un principio cosciente attivo, anche se privo di contatti con qualcosa di esterno da conoscere).</w:t>
      </w:r>
    </w:p>
    <w:p w:rsidR="00F45931" w:rsidRDefault="00F45931" w:rsidP="00EF789D">
      <w:pPr>
        <w:tabs>
          <w:tab w:val="left" w:pos="851"/>
        </w:tabs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F45931" w:rsidRDefault="00F45931" w:rsidP="00EF789D">
      <w:pPr>
        <w:tabs>
          <w:tab w:val="left" w:pos="851"/>
        </w:tabs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2 . La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Mandukya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parla poi di un quarto stato per il quale le parole umane sono insufficienti e che viene appunto chiamato il quarto: è la realtà infinita non duale </w:t>
      </w: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 xml:space="preserve">del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Brahman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supremo. Ma qui siamo evidentemente molto al di fuori della nostra esperienza quotidiana. Quando si muore, il corpo fisico si dissolve negli elementi di cui è composto, il corpo sottile trasmette al nascituro caratteristiche secondo il maturare del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karman.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Quella del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Karman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è una dottrina panindiana ed è di fondamentale importanza (solo i materialisti la respingono esplicitamente) ed è di fondamentale importanza. Originariamente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karman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significa azione, nel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Veda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l’atto rituale e poi anche i suoi frutti, certi anche quando </w:t>
      </w:r>
      <w:r>
        <w:rPr>
          <w:rFonts w:ascii="Times New Roman" w:hAnsi="Times New Roman" w:cs="Times New Roman"/>
          <w:sz w:val="24"/>
          <w:szCs w:val="24"/>
          <w:lang w:eastAsia="it-IT"/>
        </w:rPr>
        <w:lastRenderedPageBreak/>
        <w:t xml:space="preserve">invisibili. Questo valore si mantiene anche in seguito, ma diventa molto frequente l’uso di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karman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nel senso di “legge di retribuzione degli atti compiuti”, come appare già dalla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Brhadaranyaka-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upanisad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 che</w:t>
      </w:r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insistendo sulla segretezza della dottrina che sta per insegnare, in risposta alla domanda dove sia l’uomo morto dopo la dissoluzione del suo corpo, parla di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karman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perché buoni si diventa per azioni buone, cattivi per le cattive. È un discorso che sia pure con estrema brevità presenta il 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karman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come unica realtà sopravvivente, in ciò probabilmente precedendo analoghe concezioni buddhistiche. La dottrina del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karman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è strettamente connessa con l’altra, pure panindiana, del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samsara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il processo infinito del divenire di tutta la realtà, la catena senza principio e, tranne casi speciali, senza fine delle rinascite e delle rimorti. </w:t>
      </w:r>
    </w:p>
    <w:p w:rsidR="00F45931" w:rsidRDefault="00F45931" w:rsidP="00EF789D">
      <w:pPr>
        <w:tabs>
          <w:tab w:val="left" w:pos="851"/>
        </w:tabs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Il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samsara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non è un meccanismo casuale, lo governa il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karman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. Secondo le esposizioni più mature della dottrina, le azioni sono sempre seme che fruttifica, per lo più in altre vite. Ma in ciascuna di queste, quelle almeno in cui si è in grado di agire, si agirà gettando altri semi di frutti futuri: ecco perché il processo è inesauribile. </w:t>
      </w:r>
    </w:p>
    <w:p w:rsidR="00F45931" w:rsidRDefault="00F45931" w:rsidP="00EF789D">
      <w:pPr>
        <w:tabs>
          <w:tab w:val="left" w:pos="851"/>
        </w:tabs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F45931" w:rsidRDefault="00F45931" w:rsidP="00EF789D">
      <w:pPr>
        <w:tabs>
          <w:tab w:val="left" w:pos="851"/>
        </w:tabs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3 . Di solito si riconoscono tre fasi di sviluppo del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karman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: quello “cominciato”, che cioè, giunto a maturazione, sta già dando frutti nell’esistenza presente; quello “accumulato” che, messo insieme nelle vite passate, sta ancora maturando i suoi frutti; “quello in processo di accumulazione”, cioè si semina nell’attuale esistenza e darà frutti in vite future. Il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karman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è di colori diversi: nero per il malvagio; bianco per chi è virtuoso; bianco e nero quello della gente comune, la cui attività è un misto di bene emale in varie gradazioni. Tutti questi tipi di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karman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danno frutti corrispondenti. Invece il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karman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dell’addetto dello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yoga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non è né bianco né nero e non dà frutti. </w:t>
      </w:r>
    </w:p>
    <w:p w:rsidR="00F45931" w:rsidRDefault="00F45931" w:rsidP="00EF789D">
      <w:pPr>
        <w:tabs>
          <w:tab w:val="left" w:pos="851"/>
        </w:tabs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Si possono avere rinascite diversissime a seconda del 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karman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che al momento della morte è più pronto per la piena maturazione e che, essendo più forte, dà l’impronta dominante di predisposizioni, tendenze, tracce di memoria, che si aggregano in vario modo e si manifestano al momento opportuno. Purtroppo non in tutti i tipi di esistenza si può accumulare merito spirituale come nella vita umana, che quindi ha una posizione di assoluta centralità nel cammino del perfezionamento interiore; ma vi si può giungere o tornare grazie allo sviluppo di semi remoti.</w:t>
      </w:r>
    </w:p>
    <w:p w:rsidR="00F45931" w:rsidRDefault="00F45931" w:rsidP="00EF789D">
      <w:pPr>
        <w:tabs>
          <w:tab w:val="left" w:pos="851"/>
        </w:tabs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4410C9" w:rsidRDefault="00F45931" w:rsidP="004410C9">
      <w:pPr>
        <w:tabs>
          <w:tab w:val="left" w:pos="851"/>
        </w:tabs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4 .  Il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karman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, ci viene spesso detto, </w:t>
      </w:r>
      <w:r w:rsidR="004410C9">
        <w:rPr>
          <w:rFonts w:ascii="Times New Roman" w:hAnsi="Times New Roman" w:cs="Times New Roman"/>
          <w:sz w:val="24"/>
          <w:szCs w:val="24"/>
          <w:lang w:eastAsia="it-IT"/>
        </w:rPr>
        <w:t>h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a una forza insuperabile. Questa non è necessariamente una concezione fatalistica, può portare alla rassegnazione ma non preclude la speranza, anche se si può ammettere che, in connessione con il sistema delle caste a cui fornisce una poderosa motivazione, non abbia giocato a favore di un grande dinamismo nella società. In generale si può dire che la dottrina del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karman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, risposta indiana al problema del determinismo e del libero arbitrio, pone un vincolo derivante dal passato </w:t>
      </w:r>
      <w:r>
        <w:rPr>
          <w:rFonts w:ascii="Times New Roman" w:hAnsi="Times New Roman" w:cs="Times New Roman"/>
          <w:sz w:val="24"/>
          <w:szCs w:val="24"/>
          <w:lang w:eastAsia="it-IT"/>
        </w:rPr>
        <w:lastRenderedPageBreak/>
        <w:t xml:space="preserve">per il presente, ma lascia una relativa libertà per il futuro. Esistono alcune possibilità di alleviare o addirittura “inaridire” il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karman</w:t>
      </w:r>
      <w:r>
        <w:rPr>
          <w:rFonts w:ascii="Times New Roman" w:hAnsi="Times New Roman" w:cs="Times New Roman"/>
          <w:sz w:val="24"/>
          <w:szCs w:val="24"/>
          <w:lang w:eastAsia="it-IT"/>
        </w:rPr>
        <w:t>. Ci sono rituali di espiazione per chi si è macchiato di colpe, specie se gravi. Alcune riconoscono la possibilità di un trasferimento di merito, per esempio da un maestro a un discepolo.</w:t>
      </w:r>
      <w:r w:rsidR="004410C9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In certo senso questo è il caso anche dei riti per i defunti, che, grazie ai vivi, ne migliorano le condizioni nell’aldilà. </w:t>
      </w:r>
    </w:p>
    <w:p w:rsidR="00F45931" w:rsidRDefault="00F45931" w:rsidP="004410C9">
      <w:pPr>
        <w:tabs>
          <w:tab w:val="left" w:pos="851"/>
        </w:tabs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Nella tradizione dell’amor mistico Dio è superiore al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karman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, e può liberarne in tutto o in parte il devoto. Ma la spiritualità indiana riconosce soprattutto alle discipline ascetiche e gnostiche la capacità di annullare trionfalmente il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karman</w:t>
      </w:r>
      <w:r>
        <w:rPr>
          <w:rFonts w:ascii="Times New Roman" w:hAnsi="Times New Roman" w:cs="Times New Roman"/>
          <w:sz w:val="24"/>
          <w:szCs w:val="24"/>
          <w:lang w:eastAsia="it-IT"/>
        </w:rPr>
        <w:t>, grazie alla liberazione spirituale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moksa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mukti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), che talora si raggiunge soltanto alla morte (“liberazione senza copro”). Altra volta ancora in vita (“liberazione da vivente”): in quest’ultimo caso il corpo dopo la morte rimane vivo finché permangono impulsi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karmici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come la ruota del vasaio gira finché non si è esaurita la spinta.</w:t>
      </w:r>
    </w:p>
    <w:p w:rsidR="00F45931" w:rsidRDefault="00F45931" w:rsidP="00EF789D">
      <w:pPr>
        <w:tabs>
          <w:tab w:val="left" w:pos="851"/>
        </w:tabs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Che la società induistica sia organizzata in caste (la parola di origine portoghese equivale a “lignaggio”) è cosa ben nota. È un insieme di strutture così caratteristico del mondo indiano da permeare anche tradizione non induistiche. Pur tuttavia nell’induismo conosce una tale forza pervasiva da indurre alcune a identificarlo come componente essenziale dell’induismo stesso. </w:t>
      </w:r>
    </w:p>
    <w:p w:rsidR="00F45931" w:rsidRDefault="00F45931" w:rsidP="00EF789D">
      <w:pPr>
        <w:tabs>
          <w:tab w:val="left" w:pos="851"/>
        </w:tabs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Conosciuto fin dai primi contatti degli europei con l’India, il fenomeno casta non è facile da definire. Oggi casta costituisce un gruppo sociale ereditario chiuso, prevalentemente ma non esclusivamente di natura professionale, legato a norme precise per il matrimonio e la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commensalità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praticati solo al suo interno, e si inquadra in un complesso sistema gerarchico diffuso, anche se non in modo uniforme, attraverso tutta l’India: del resto l’idea di una gerarchia di tutti gli esseri dal dio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Brahman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ai più umili, è tipica dell’induismo.</w:t>
      </w:r>
    </w:p>
    <w:p w:rsidR="00F45931" w:rsidRDefault="00F45931" w:rsidP="00EF789D">
      <w:pPr>
        <w:tabs>
          <w:tab w:val="left" w:pos="851"/>
        </w:tabs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F45931" w:rsidRDefault="00F45931" w:rsidP="00EF789D">
      <w:pPr>
        <w:tabs>
          <w:tab w:val="left" w:pos="851"/>
        </w:tabs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5 . La suddivisione della società in ceti diversi ordinati gerarchicamente risale almeno alle origini indoeuropee, e, come si è già visto, è consacrata dall’infallibile validità del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Rigveda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nell’inno 90 del libro X. Risulta chiaro da questo inno quale sia il dovere dei singoli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varna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: i sacerdoti hanno compiti sapienziali e didattici, oltre che, ovviamente, ritualistici; i nobili guerrieri devono combattere per proteggere i sudditi e in genere usare la forza, o la sua minaccia, per garantire l’ordine (ma hanno anche il compito di studiare, donare, far compiere sacrifici, sostenendo la classe brahmanica con varie forme di supporto economico); la gente comune, i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vaisya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>, attende all’allevamento del bestiame, all’agricoltura, all’artigianato e al commercio, ma anche a doveri di studio e rituali; il compito dei servi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sudra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), infine, è dichiarato dal loro stesso nome: servire le loro tre classi superiori, i cui uomini costituiscono gli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dvija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i “nati due volte”, cioè nati a nuova vita dopo la cerimonia dell’iniziazione, dalla quale i servi sono esclusi. Accanto al termine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varna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it-IT"/>
        </w:rPr>
        <w:lastRenderedPageBreak/>
        <w:t xml:space="preserve">che indica queste quattro grandi classi, compare in un rapporto non sempre chiaro con esso, la parola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jati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(nascita), usata comunemente per le vere e proprie caste che sono varie migliaia, una realtà complessa e intricata che deve la sua origine a fattori molteplici (sono caste anche alcuni gruppi religiosi, genti tribali recepite nella società induistica in varia epoca). </w:t>
      </w:r>
    </w:p>
    <w:p w:rsidR="00F45931" w:rsidRDefault="00F45931" w:rsidP="00EF789D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Le caste rispondono a un’esigenza di distribuzione nell’ordine sacro. Massimamente impuri, perciò collocati al di fuori dei quattro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varna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e variamente denominati, sono quindi i fuori casta, gli intoccabili (noi generalizzando usiamo il nome di un gruppo particolare, quello dei paria). Sono coloro che discendono da rapporti sessuali nei quali la donna è di casta molto più elevata di quella dell’uomo; altri gruppi umani condannati a questo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status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sono quelli dediti ad attività contaminanti cioè connesse con la morte e con altre forme di impurità. I fuoricasta non sono estranei al sistema: costituiscono caste anch’essi, e adempiono a quelle funzioni necessarie e sporche che contaminerebbero gli altri uomini, mentre per loro questo servizio infimo, ma di pubblica utilità è il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dharma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che, se seguito con dedizione, consentirà una migliore rinascita.</w:t>
      </w:r>
    </w:p>
    <w:p w:rsidR="00F45931" w:rsidRDefault="00F45931" w:rsidP="00EF789D">
      <w:pPr>
        <w:pStyle w:val="Sottotitolo"/>
        <w:tabs>
          <w:tab w:val="left" w:pos="851"/>
        </w:tabs>
        <w:ind w:right="991" w:firstLine="283"/>
        <w:jc w:val="center"/>
        <w:rPr>
          <w:rFonts w:ascii="Times New Roman" w:eastAsia="DotumChe" w:hAnsi="Times New Roman" w:cs="Times New Roman"/>
          <w:b/>
          <w:i w:val="0"/>
          <w:color w:val="auto"/>
        </w:rPr>
      </w:pPr>
    </w:p>
    <w:p w:rsidR="00F45931" w:rsidRDefault="00F45931" w:rsidP="00EF789D">
      <w:pPr>
        <w:pStyle w:val="Sottotitolo"/>
        <w:tabs>
          <w:tab w:val="left" w:pos="851"/>
        </w:tabs>
        <w:ind w:right="991" w:firstLine="283"/>
        <w:jc w:val="center"/>
        <w:rPr>
          <w:rFonts w:ascii="Times New Roman" w:eastAsia="DotumChe" w:hAnsi="Times New Roman" w:cs="Times New Roman"/>
          <w:b/>
          <w:i w:val="0"/>
          <w:color w:val="auto"/>
        </w:rPr>
      </w:pPr>
    </w:p>
    <w:p w:rsidR="00F45931" w:rsidRDefault="00F45931" w:rsidP="00EF789D">
      <w:pPr>
        <w:pStyle w:val="Sottotitolo"/>
        <w:tabs>
          <w:tab w:val="left" w:pos="851"/>
        </w:tabs>
        <w:ind w:right="991" w:firstLine="283"/>
        <w:jc w:val="center"/>
        <w:rPr>
          <w:rFonts w:ascii="Times New Roman" w:eastAsia="DotumChe" w:hAnsi="Times New Roman" w:cs="Times New Roman"/>
          <w:b/>
          <w:i w:val="0"/>
          <w:color w:val="auto"/>
        </w:rPr>
      </w:pPr>
    </w:p>
    <w:p w:rsidR="00F45931" w:rsidRDefault="00F45931" w:rsidP="00EF789D">
      <w:pPr>
        <w:pStyle w:val="Sottotitolo"/>
        <w:tabs>
          <w:tab w:val="left" w:pos="851"/>
        </w:tabs>
        <w:ind w:right="991" w:firstLine="283"/>
        <w:jc w:val="center"/>
        <w:rPr>
          <w:rFonts w:ascii="Times New Roman" w:eastAsia="DotumChe" w:hAnsi="Times New Roman" w:cs="Times New Roman"/>
          <w:b/>
          <w:i w:val="0"/>
          <w:color w:val="auto"/>
        </w:rPr>
      </w:pPr>
    </w:p>
    <w:p w:rsidR="00C47418" w:rsidRDefault="00C47418" w:rsidP="00EF789D">
      <w:pPr>
        <w:tabs>
          <w:tab w:val="left" w:pos="851"/>
        </w:tabs>
        <w:ind w:right="991"/>
      </w:pPr>
    </w:p>
    <w:sectPr w:rsidR="00C47418" w:rsidSect="00961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31"/>
    <w:rsid w:val="004410C9"/>
    <w:rsid w:val="006C5680"/>
    <w:rsid w:val="00961503"/>
    <w:rsid w:val="00C47418"/>
    <w:rsid w:val="00EF789D"/>
    <w:rsid w:val="00F4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BB54"/>
  <w15:chartTrackingRefBased/>
  <w15:docId w15:val="{70C2F18B-9C31-42C9-8C41-0B21D559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5931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F45931"/>
    <w:pPr>
      <w:keepNext/>
      <w:spacing w:after="0" w:line="240" w:lineRule="auto"/>
      <w:ind w:left="1080" w:right="518" w:hanging="142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45931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5931"/>
    <w:pPr>
      <w:spacing w:line="252" w:lineRule="auto"/>
      <w:ind w:left="851" w:hanging="142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593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admin</cp:lastModifiedBy>
  <cp:revision>9</cp:revision>
  <dcterms:created xsi:type="dcterms:W3CDTF">2023-11-28T05:45:00Z</dcterms:created>
  <dcterms:modified xsi:type="dcterms:W3CDTF">2023-12-05T07:27:00Z</dcterms:modified>
</cp:coreProperties>
</file>