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2FE" w:rsidRDefault="007B02FE" w:rsidP="007B02FE">
      <w:pPr>
        <w:pStyle w:val="NormaleWeb"/>
        <w:shd w:val="clear" w:color="auto" w:fill="FFFFFF"/>
        <w:spacing w:before="120" w:beforeAutospacing="0" w:after="120" w:afterAutospacing="0"/>
        <w:contextualSpacing/>
        <w:jc w:val="center"/>
        <w:rPr>
          <w:b/>
          <w:bCs/>
          <w:color w:val="202122"/>
        </w:rPr>
      </w:pPr>
      <w:r w:rsidRPr="007B02FE">
        <w:rPr>
          <w:b/>
          <w:bCs/>
          <w:color w:val="202122"/>
        </w:rPr>
        <w:t>IL THEYYAM</w:t>
      </w:r>
    </w:p>
    <w:p w:rsidR="007B02FE" w:rsidRPr="007B02FE" w:rsidRDefault="007B02FE" w:rsidP="007B02FE">
      <w:pPr>
        <w:pStyle w:val="NormaleWeb"/>
        <w:shd w:val="clear" w:color="auto" w:fill="FFFFFF"/>
        <w:spacing w:before="120" w:beforeAutospacing="0" w:after="120" w:afterAutospacing="0"/>
        <w:contextualSpacing/>
        <w:jc w:val="center"/>
        <w:rPr>
          <w:b/>
          <w:bCs/>
          <w:color w:val="202122"/>
        </w:rPr>
      </w:pPr>
    </w:p>
    <w:p w:rsidR="00F21879" w:rsidRPr="00F21879" w:rsidRDefault="00F21879" w:rsidP="00FD0825">
      <w:pPr>
        <w:pStyle w:val="NormaleWeb"/>
        <w:shd w:val="clear" w:color="auto" w:fill="FFFFFF"/>
        <w:spacing w:before="120" w:beforeAutospacing="0" w:after="120" w:afterAutospacing="0"/>
        <w:contextualSpacing/>
        <w:jc w:val="both"/>
        <w:rPr>
          <w:color w:val="202122"/>
        </w:rPr>
      </w:pPr>
      <w:r w:rsidRPr="00F21879">
        <w:rPr>
          <w:bCs/>
          <w:color w:val="202122"/>
        </w:rPr>
        <w:t xml:space="preserve">Il </w:t>
      </w:r>
      <w:proofErr w:type="spellStart"/>
      <w:r w:rsidR="00CE0FDC" w:rsidRPr="00F21879">
        <w:rPr>
          <w:b/>
          <w:bCs/>
          <w:color w:val="202122"/>
        </w:rPr>
        <w:t>Theyyam</w:t>
      </w:r>
      <w:proofErr w:type="spellEnd"/>
      <w:r w:rsidR="00CE0FDC" w:rsidRPr="00F21879">
        <w:rPr>
          <w:color w:val="202122"/>
        </w:rPr>
        <w:t> </w:t>
      </w:r>
      <w:r w:rsidR="00DA5002" w:rsidRPr="00F21879">
        <w:rPr>
          <w:color w:val="202122"/>
        </w:rPr>
        <w:t xml:space="preserve">è un rituale particolare che </w:t>
      </w:r>
      <w:r>
        <w:rPr>
          <w:color w:val="202122"/>
        </w:rPr>
        <w:t>si celebra</w:t>
      </w:r>
      <w:r w:rsidR="00DA5002" w:rsidRPr="00F21879">
        <w:rPr>
          <w:color w:val="202122"/>
        </w:rPr>
        <w:t xml:space="preserve"> in </w:t>
      </w:r>
      <w:proofErr w:type="spellStart"/>
      <w:r w:rsidR="00DA5002" w:rsidRPr="00F21879">
        <w:rPr>
          <w:color w:val="202122"/>
        </w:rPr>
        <w:t>Kerala</w:t>
      </w:r>
      <w:proofErr w:type="spellEnd"/>
      <w:r w:rsidR="00DA5002" w:rsidRPr="00F21879">
        <w:rPr>
          <w:color w:val="202122"/>
        </w:rPr>
        <w:t xml:space="preserve"> e in alcune parti del </w:t>
      </w:r>
      <w:proofErr w:type="spellStart"/>
      <w:r w:rsidR="00DA5002" w:rsidRPr="00F21879">
        <w:rPr>
          <w:color w:val="202122"/>
        </w:rPr>
        <w:t>Karnataka</w:t>
      </w:r>
      <w:proofErr w:type="spellEnd"/>
      <w:r w:rsidR="00DA5002" w:rsidRPr="00F21879">
        <w:rPr>
          <w:color w:val="202122"/>
        </w:rPr>
        <w:t xml:space="preserve"> (India del Sud)</w:t>
      </w:r>
      <w:r w:rsidRPr="00F21879">
        <w:rPr>
          <w:color w:val="202122"/>
        </w:rPr>
        <w:t xml:space="preserve"> </w:t>
      </w:r>
      <w:r w:rsidR="00BD51B9" w:rsidRPr="00F21879">
        <w:rPr>
          <w:color w:val="202122"/>
        </w:rPr>
        <w:t>da ottobre a fine maggio/inizi giugno.</w:t>
      </w:r>
      <w:r w:rsidR="00BD51B9">
        <w:rPr>
          <w:color w:val="202122"/>
        </w:rPr>
        <w:t xml:space="preserve"> In esso</w:t>
      </w:r>
      <w:r w:rsidRPr="00F21879">
        <w:rPr>
          <w:color w:val="202122"/>
        </w:rPr>
        <w:t xml:space="preserve"> il Divino si manifesta negli esecutori che ne vengono posseduti. </w:t>
      </w:r>
      <w:r w:rsidRPr="00F21879">
        <w:rPr>
          <w:color w:val="202122"/>
        </w:rPr>
        <w:t xml:space="preserve">Le divinità </w:t>
      </w:r>
      <w:r w:rsidRPr="00F21879">
        <w:rPr>
          <w:color w:val="202122"/>
        </w:rPr>
        <w:t>chiamate</w:t>
      </w:r>
      <w:r w:rsidRPr="00F21879">
        <w:rPr>
          <w:color w:val="202122"/>
        </w:rPr>
        <w:t xml:space="preserve"> appartengono a un sostrato </w:t>
      </w:r>
      <w:r w:rsidRPr="00F21879">
        <w:rPr>
          <w:color w:val="202122"/>
        </w:rPr>
        <w:t xml:space="preserve">popolare molto </w:t>
      </w:r>
      <w:r w:rsidRPr="00F21879">
        <w:rPr>
          <w:color w:val="202122"/>
        </w:rPr>
        <w:t xml:space="preserve">antico, </w:t>
      </w:r>
      <w:r w:rsidR="007B02FE">
        <w:rPr>
          <w:color w:val="202122"/>
        </w:rPr>
        <w:t xml:space="preserve">evidente anche se </w:t>
      </w:r>
      <w:r w:rsidRPr="00F21879">
        <w:rPr>
          <w:color w:val="202122"/>
        </w:rPr>
        <w:t>vengono affiliate a quelle del pantheon tradizionale.</w:t>
      </w:r>
      <w:r w:rsidRPr="00F21879">
        <w:rPr>
          <w:color w:val="202122"/>
        </w:rPr>
        <w:t xml:space="preserve"> È il caso della dea</w:t>
      </w:r>
      <w:r w:rsidRPr="00F21879">
        <w:rPr>
          <w:color w:val="202122"/>
        </w:rPr>
        <w:t xml:space="preserve"> </w:t>
      </w:r>
      <w:proofErr w:type="spellStart"/>
      <w:r w:rsidRPr="00F21879">
        <w:rPr>
          <w:color w:val="202122"/>
        </w:rPr>
        <w:t>Bhagavati</w:t>
      </w:r>
      <w:proofErr w:type="spellEnd"/>
      <w:r w:rsidRPr="00F21879">
        <w:rPr>
          <w:color w:val="202122"/>
        </w:rPr>
        <w:t>, i cui</w:t>
      </w:r>
      <w:r w:rsidRPr="00F21879">
        <w:rPr>
          <w:color w:val="202122"/>
        </w:rPr>
        <w:t xml:space="preserve"> aspetti terribili </w:t>
      </w:r>
      <w:r w:rsidRPr="00F21879">
        <w:rPr>
          <w:color w:val="202122"/>
        </w:rPr>
        <w:t>l’hanno fatta associare</w:t>
      </w:r>
      <w:r w:rsidRPr="00F21879">
        <w:rPr>
          <w:color w:val="202122"/>
        </w:rPr>
        <w:t xml:space="preserve"> a </w:t>
      </w:r>
      <w:proofErr w:type="spellStart"/>
      <w:r w:rsidRPr="00F21879">
        <w:rPr>
          <w:color w:val="202122"/>
        </w:rPr>
        <w:t>Kali</w:t>
      </w:r>
      <w:proofErr w:type="spellEnd"/>
      <w:r w:rsidRPr="00F21879">
        <w:rPr>
          <w:color w:val="202122"/>
        </w:rPr>
        <w:t>.</w:t>
      </w:r>
      <w:r>
        <w:rPr>
          <w:color w:val="202122"/>
        </w:rPr>
        <w:t xml:space="preserve"> </w:t>
      </w:r>
      <w:r w:rsidRPr="00F21879">
        <w:rPr>
          <w:color w:val="202122"/>
        </w:rPr>
        <w:t xml:space="preserve">Le divinità femminili sono spesso </w:t>
      </w:r>
      <w:proofErr w:type="spellStart"/>
      <w:r w:rsidRPr="00F21879">
        <w:rPr>
          <w:color w:val="202122"/>
        </w:rPr>
        <w:t>Gramadevata</w:t>
      </w:r>
      <w:proofErr w:type="spellEnd"/>
      <w:r w:rsidRPr="00F21879">
        <w:rPr>
          <w:color w:val="202122"/>
        </w:rPr>
        <w:t xml:space="preserve">, protettrici dei villaggi, tra le quali sono incluse </w:t>
      </w:r>
      <w:r w:rsidR="00BD51B9">
        <w:rPr>
          <w:color w:val="202122"/>
        </w:rPr>
        <w:t>pure</w:t>
      </w:r>
      <w:r w:rsidRPr="00F21879">
        <w:rPr>
          <w:color w:val="202122"/>
        </w:rPr>
        <w:t xml:space="preserve"> dee delle malattie. Nel rituale compaiono anche </w:t>
      </w:r>
      <w:r w:rsidRPr="00F21879">
        <w:rPr>
          <w:color w:val="202122"/>
        </w:rPr>
        <w:t>spiriti, antenati, eroi</w:t>
      </w:r>
      <w:r w:rsidRPr="00F21879">
        <w:rPr>
          <w:color w:val="202122"/>
        </w:rPr>
        <w:t>, animali che sono al centro di</w:t>
      </w:r>
      <w:r w:rsidRPr="00F21879">
        <w:rPr>
          <w:color w:val="202122"/>
        </w:rPr>
        <w:t xml:space="preserve"> circa 456 tipi di </w:t>
      </w:r>
      <w:proofErr w:type="spellStart"/>
      <w:r w:rsidRPr="00F21879">
        <w:rPr>
          <w:i/>
          <w:iCs/>
          <w:color w:val="202122"/>
        </w:rPr>
        <w:t>Theyyam</w:t>
      </w:r>
      <w:proofErr w:type="spellEnd"/>
      <w:r w:rsidRPr="00F21879">
        <w:rPr>
          <w:color w:val="202122"/>
        </w:rPr>
        <w:t xml:space="preserve">. </w:t>
      </w:r>
    </w:p>
    <w:p w:rsidR="007B02FE" w:rsidRPr="00F21879" w:rsidRDefault="007B02FE" w:rsidP="007B02FE">
      <w:pPr>
        <w:pStyle w:val="NormaleWeb"/>
        <w:shd w:val="clear" w:color="auto" w:fill="FFFFFF"/>
        <w:spacing w:before="120" w:beforeAutospacing="0" w:after="120" w:afterAutospacing="0"/>
        <w:contextualSpacing/>
        <w:jc w:val="both"/>
        <w:rPr>
          <w:color w:val="202122"/>
        </w:rPr>
      </w:pPr>
      <w:r>
        <w:rPr>
          <w:color w:val="202122"/>
        </w:rPr>
        <w:t xml:space="preserve">Il comune denominatore della quasi totalità dei </w:t>
      </w:r>
      <w:proofErr w:type="spellStart"/>
      <w:r>
        <w:rPr>
          <w:color w:val="202122"/>
        </w:rPr>
        <w:t>Theyyam</w:t>
      </w:r>
      <w:proofErr w:type="spellEnd"/>
      <w:r>
        <w:rPr>
          <w:color w:val="202122"/>
        </w:rPr>
        <w:t xml:space="preserve"> è l’appartenenza all’ambito </w:t>
      </w:r>
      <w:proofErr w:type="spellStart"/>
      <w:r>
        <w:rPr>
          <w:color w:val="202122"/>
        </w:rPr>
        <w:t>shivaita</w:t>
      </w:r>
      <w:proofErr w:type="spellEnd"/>
      <w:r>
        <w:rPr>
          <w:color w:val="202122"/>
        </w:rPr>
        <w:t xml:space="preserve"> o </w:t>
      </w:r>
      <w:proofErr w:type="spellStart"/>
      <w:r>
        <w:rPr>
          <w:color w:val="202122"/>
        </w:rPr>
        <w:t>shakta</w:t>
      </w:r>
      <w:proofErr w:type="spellEnd"/>
      <w:r>
        <w:rPr>
          <w:color w:val="202122"/>
        </w:rPr>
        <w:t xml:space="preserve">, cioè della </w:t>
      </w:r>
      <w:proofErr w:type="spellStart"/>
      <w:r>
        <w:rPr>
          <w:color w:val="202122"/>
        </w:rPr>
        <w:t>Shakti</w:t>
      </w:r>
      <w:proofErr w:type="spellEnd"/>
      <w:r>
        <w:rPr>
          <w:color w:val="202122"/>
        </w:rPr>
        <w:t xml:space="preserve">, la Dea, </w:t>
      </w:r>
    </w:p>
    <w:p w:rsidR="007B02FE" w:rsidRDefault="00F21879" w:rsidP="00FD0825">
      <w:pPr>
        <w:pStyle w:val="NormaleWeb"/>
        <w:shd w:val="clear" w:color="auto" w:fill="FFFFFF"/>
        <w:spacing w:before="120" w:beforeAutospacing="0" w:after="120" w:afterAutospacing="0"/>
        <w:contextualSpacing/>
        <w:jc w:val="both"/>
        <w:rPr>
          <w:color w:val="202122"/>
        </w:rPr>
      </w:pPr>
      <w:r w:rsidRPr="00F21879">
        <w:rPr>
          <w:color w:val="202122"/>
        </w:rPr>
        <w:t xml:space="preserve">Gli esecutori, tutti uomini </w:t>
      </w:r>
      <w:r w:rsidR="00BD51B9">
        <w:rPr>
          <w:color w:val="202122"/>
        </w:rPr>
        <w:t xml:space="preserve">- </w:t>
      </w:r>
      <w:r w:rsidRPr="00F21879">
        <w:rPr>
          <w:color w:val="202122"/>
        </w:rPr>
        <w:t xml:space="preserve">con l’eccezione del </w:t>
      </w:r>
      <w:proofErr w:type="spellStart"/>
      <w:r w:rsidRPr="00F21879">
        <w:rPr>
          <w:i/>
          <w:iCs/>
          <w:color w:val="202122"/>
        </w:rPr>
        <w:t>Devakoothu</w:t>
      </w:r>
      <w:proofErr w:type="spellEnd"/>
      <w:r w:rsidRPr="00F21879">
        <w:rPr>
          <w:i/>
          <w:iCs/>
          <w:color w:val="202122"/>
        </w:rPr>
        <w:t xml:space="preserve"> </w:t>
      </w:r>
      <w:proofErr w:type="spellStart"/>
      <w:r w:rsidRPr="00F21879">
        <w:rPr>
          <w:i/>
          <w:iCs/>
          <w:color w:val="202122"/>
        </w:rPr>
        <w:t>theyyam</w:t>
      </w:r>
      <w:proofErr w:type="spellEnd"/>
      <w:r w:rsidRPr="00F21879">
        <w:rPr>
          <w:i/>
          <w:iCs/>
          <w:color w:val="202122"/>
        </w:rPr>
        <w:t xml:space="preserve"> </w:t>
      </w:r>
      <w:r w:rsidRPr="00F21879">
        <w:rPr>
          <w:iCs/>
          <w:color w:val="202122"/>
        </w:rPr>
        <w:t>eseguito da donne in onore di una dea della foresta</w:t>
      </w:r>
      <w:r w:rsidR="00BD51B9">
        <w:rPr>
          <w:iCs/>
          <w:color w:val="202122"/>
        </w:rPr>
        <w:t xml:space="preserve"> -</w:t>
      </w:r>
      <w:r w:rsidRPr="00F21879">
        <w:rPr>
          <w:iCs/>
          <w:color w:val="202122"/>
        </w:rPr>
        <w:t xml:space="preserve">, </w:t>
      </w:r>
      <w:r w:rsidR="00BD51B9" w:rsidRPr="00F21879">
        <w:rPr>
          <w:color w:val="202122"/>
        </w:rPr>
        <w:t>appartengono a caste inferiori</w:t>
      </w:r>
      <w:r w:rsidR="00BD51B9">
        <w:rPr>
          <w:color w:val="202122"/>
        </w:rPr>
        <w:t>,</w:t>
      </w:r>
      <w:r w:rsidR="00BD51B9" w:rsidRPr="00F21879">
        <w:rPr>
          <w:color w:val="202122"/>
        </w:rPr>
        <w:t xml:space="preserve"> ma vengono reclutati dalle caste superiori</w:t>
      </w:r>
      <w:r w:rsidR="00BD51B9">
        <w:rPr>
          <w:color w:val="202122"/>
        </w:rPr>
        <w:t xml:space="preserve"> che li ospitano nelle loro abitazioni o in templi particolari</w:t>
      </w:r>
      <w:r w:rsidR="00BD51B9" w:rsidRPr="00F21879">
        <w:rPr>
          <w:color w:val="202122"/>
        </w:rPr>
        <w:t>.</w:t>
      </w:r>
      <w:r w:rsidR="00BD51B9">
        <w:rPr>
          <w:color w:val="202122"/>
        </w:rPr>
        <w:t xml:space="preserve"> Il rituale infatti include momenti cruenti (battaglie di galli e loro sacrifici) ed</w:t>
      </w:r>
      <w:r w:rsidR="005E6A5F">
        <w:rPr>
          <w:color w:val="202122"/>
        </w:rPr>
        <w:t xml:space="preserve"> altri atti considerati </w:t>
      </w:r>
      <w:r w:rsidR="00BD51B9">
        <w:rPr>
          <w:color w:val="202122"/>
        </w:rPr>
        <w:t xml:space="preserve">fonte di impurità, per cui </w:t>
      </w:r>
      <w:r w:rsidR="00E26422">
        <w:rPr>
          <w:color w:val="202122"/>
        </w:rPr>
        <w:t xml:space="preserve">lo </w:t>
      </w:r>
      <w:r w:rsidR="00BD51B9">
        <w:rPr>
          <w:color w:val="202122"/>
        </w:rPr>
        <w:t>spazi</w:t>
      </w:r>
      <w:r w:rsidR="00E26422">
        <w:rPr>
          <w:color w:val="202122"/>
        </w:rPr>
        <w:t>o</w:t>
      </w:r>
      <w:r w:rsidR="00BD51B9">
        <w:rPr>
          <w:color w:val="202122"/>
        </w:rPr>
        <w:t xml:space="preserve"> in cui si </w:t>
      </w:r>
      <w:r w:rsidR="005E6A5F">
        <w:rPr>
          <w:color w:val="202122"/>
        </w:rPr>
        <w:t>svolge</w:t>
      </w:r>
      <w:r w:rsidR="00BD51B9">
        <w:rPr>
          <w:color w:val="202122"/>
        </w:rPr>
        <w:t xml:space="preserve"> non </w:t>
      </w:r>
      <w:r w:rsidR="005E6A5F">
        <w:rPr>
          <w:color w:val="202122"/>
        </w:rPr>
        <w:t>può</w:t>
      </w:r>
      <w:r w:rsidR="00BD51B9">
        <w:rPr>
          <w:color w:val="202122"/>
        </w:rPr>
        <w:t xml:space="preserve"> essere quell</w:t>
      </w:r>
      <w:r w:rsidR="007B02FE">
        <w:rPr>
          <w:color w:val="202122"/>
        </w:rPr>
        <w:t>o</w:t>
      </w:r>
      <w:r w:rsidR="00BD51B9">
        <w:rPr>
          <w:color w:val="202122"/>
        </w:rPr>
        <w:t xml:space="preserve"> dei templi </w:t>
      </w:r>
      <w:r w:rsidR="005E6A5F">
        <w:rPr>
          <w:color w:val="202122"/>
        </w:rPr>
        <w:t>brahmanici</w:t>
      </w:r>
      <w:r w:rsidR="00BD51B9">
        <w:rPr>
          <w:color w:val="202122"/>
        </w:rPr>
        <w:t xml:space="preserve"> “puri”. Le divinità adorate, anche nel caso in cui vengano ritenute forme di divinità superiori, appartengono a un rango inferiore, ma sono indispensabili poiché, entrate nel corpo dei danzatori</w:t>
      </w:r>
      <w:r w:rsidR="007B02FE">
        <w:rPr>
          <w:color w:val="202122"/>
        </w:rPr>
        <w:t xml:space="preserve"> in un’ancestrale forma di possessione</w:t>
      </w:r>
      <w:r w:rsidR="00BD51B9">
        <w:rPr>
          <w:color w:val="202122"/>
        </w:rPr>
        <w:t>, possono elargire benedizioni, curare e predire il futuro.</w:t>
      </w:r>
      <w:r w:rsidR="005E6A5F">
        <w:rPr>
          <w:color w:val="202122"/>
        </w:rPr>
        <w:t xml:space="preserve"> È evidente in questo caso la stratificazione di vari livelli </w:t>
      </w:r>
      <w:r w:rsidR="007B02FE">
        <w:rPr>
          <w:color w:val="202122"/>
        </w:rPr>
        <w:t xml:space="preserve">del sacro </w:t>
      </w:r>
      <w:r w:rsidR="005E6A5F">
        <w:rPr>
          <w:color w:val="202122"/>
        </w:rPr>
        <w:t>all’interno del cosiddetto Induismo e la formazione di una gerarchia</w:t>
      </w:r>
      <w:r w:rsidR="007B02FE">
        <w:rPr>
          <w:color w:val="202122"/>
        </w:rPr>
        <w:t xml:space="preserve"> divina.</w:t>
      </w:r>
    </w:p>
    <w:p w:rsidR="00163046" w:rsidRDefault="005E6A5F" w:rsidP="00FD0825">
      <w:pPr>
        <w:pStyle w:val="NormaleWeb"/>
        <w:shd w:val="clear" w:color="auto" w:fill="FFFFFF"/>
        <w:spacing w:before="120" w:beforeAutospacing="0" w:after="120" w:afterAutospacing="0"/>
        <w:contextualSpacing/>
        <w:jc w:val="both"/>
        <w:rPr>
          <w:color w:val="202122"/>
        </w:rPr>
      </w:pPr>
      <w:r>
        <w:rPr>
          <w:color w:val="202122"/>
        </w:rPr>
        <w:t xml:space="preserve">Il </w:t>
      </w:r>
      <w:proofErr w:type="spellStart"/>
      <w:r>
        <w:rPr>
          <w:color w:val="202122"/>
        </w:rPr>
        <w:t>Theyyam</w:t>
      </w:r>
      <w:proofErr w:type="spellEnd"/>
      <w:r>
        <w:rPr>
          <w:color w:val="202122"/>
        </w:rPr>
        <w:t xml:space="preserve"> </w:t>
      </w:r>
      <w:r w:rsidR="00163046">
        <w:rPr>
          <w:color w:val="202122"/>
        </w:rPr>
        <w:t xml:space="preserve">inizia davanti al tempio della divinità a cui è dedicato il rito. </w:t>
      </w:r>
      <w:r w:rsidR="00163046">
        <w:rPr>
          <w:color w:val="202122"/>
        </w:rPr>
        <w:t xml:space="preserve">Non c’è nulla che sia riconducibile a uno spazio teatrale; gli spettori stanno in piedi o si siedono sotto l’albero sacro davanti al </w:t>
      </w:r>
      <w:r w:rsidR="00163046">
        <w:rPr>
          <w:color w:val="202122"/>
        </w:rPr>
        <w:t xml:space="preserve">tempio </w:t>
      </w:r>
      <w:r w:rsidR="00163046">
        <w:rPr>
          <w:color w:val="202122"/>
        </w:rPr>
        <w:t xml:space="preserve">per </w:t>
      </w:r>
      <w:r w:rsidR="00163046">
        <w:rPr>
          <w:color w:val="202122"/>
        </w:rPr>
        <w:t xml:space="preserve">tutta </w:t>
      </w:r>
      <w:r w:rsidR="00163046">
        <w:rPr>
          <w:color w:val="202122"/>
        </w:rPr>
        <w:t>la durata del rito che si dipana da 12 a 24 ore</w:t>
      </w:r>
      <w:r w:rsidR="00163046">
        <w:rPr>
          <w:color w:val="202122"/>
        </w:rPr>
        <w:t xml:space="preserve"> con numerosi intervalli.</w:t>
      </w:r>
    </w:p>
    <w:p w:rsidR="00B908D7" w:rsidRDefault="00163046" w:rsidP="00FD0825">
      <w:pPr>
        <w:pStyle w:val="NormaleWeb"/>
        <w:shd w:val="clear" w:color="auto" w:fill="FFFFFF"/>
        <w:spacing w:before="120" w:beforeAutospacing="0" w:after="120" w:afterAutospacing="0"/>
        <w:contextualSpacing/>
        <w:jc w:val="both"/>
      </w:pPr>
      <w:r>
        <w:rPr>
          <w:color w:val="202122"/>
        </w:rPr>
        <w:t>Il danzatore principale</w:t>
      </w:r>
      <w:r w:rsidR="007B02FE">
        <w:rPr>
          <w:color w:val="202122"/>
        </w:rPr>
        <w:t>,</w:t>
      </w:r>
      <w:r>
        <w:rPr>
          <w:color w:val="202122"/>
        </w:rPr>
        <w:t xml:space="preserve"> per indurre il dio o la dea a manifestarsi</w:t>
      </w:r>
      <w:r w:rsidR="007B02FE">
        <w:rPr>
          <w:color w:val="202122"/>
        </w:rPr>
        <w:t>,</w:t>
      </w:r>
      <w:r>
        <w:rPr>
          <w:color w:val="202122"/>
        </w:rPr>
        <w:t xml:space="preserve"> ne celebra le gesta mitiche accompagnato dai tamburi. Si è preparato con il digiuno e altre pratiche adeguate. </w:t>
      </w:r>
      <w:r w:rsidR="00B47D7E">
        <w:rPr>
          <w:color w:val="202122"/>
        </w:rPr>
        <w:t xml:space="preserve">Dopo </w:t>
      </w:r>
      <w:r w:rsidR="00B908D7">
        <w:rPr>
          <w:color w:val="202122"/>
        </w:rPr>
        <w:t>una pausa, ritorna a danzare truccato e abbigliato in modo spettacolare</w:t>
      </w:r>
      <w:r w:rsidR="007B02FE">
        <w:rPr>
          <w:color w:val="202122"/>
        </w:rPr>
        <w:t>.</w:t>
      </w:r>
      <w:r w:rsidR="00B908D7">
        <w:rPr>
          <w:color w:val="202122"/>
        </w:rPr>
        <w:t xml:space="preserve"> </w:t>
      </w:r>
      <w:r w:rsidR="007B02FE">
        <w:rPr>
          <w:color w:val="202122"/>
        </w:rPr>
        <w:t xml:space="preserve">Sostenuto da un ritmo serrato di percussioni e strumenti tribali, il danzatore entra in trance e </w:t>
      </w:r>
      <w:r w:rsidR="00B908D7">
        <w:rPr>
          <w:color w:val="202122"/>
        </w:rPr>
        <w:t>progressivamente</w:t>
      </w:r>
      <w:r w:rsidR="00B908D7">
        <w:rPr>
          <w:color w:val="202122"/>
        </w:rPr>
        <w:t xml:space="preserve"> </w:t>
      </w:r>
      <w:r w:rsidR="00B908D7">
        <w:rPr>
          <w:color w:val="202122"/>
        </w:rPr>
        <w:t>in lui si manifesta la divinità</w:t>
      </w:r>
      <w:r w:rsidR="00B908D7">
        <w:rPr>
          <w:color w:val="202122"/>
        </w:rPr>
        <w:t xml:space="preserve">. A questo punto </w:t>
      </w:r>
      <w:r w:rsidR="00B908D7">
        <w:t>il suo</w:t>
      </w:r>
      <w:r w:rsidR="00B908D7" w:rsidRPr="00F21879">
        <w:t xml:space="preserve"> stat</w:t>
      </w:r>
      <w:r w:rsidR="00B908D7">
        <w:t>o travalica l’appartenenza di casta e il danzatore-dio si eleva</w:t>
      </w:r>
      <w:r w:rsidR="00B908D7" w:rsidRPr="00F21879">
        <w:t xml:space="preserve"> sopra le alte caste che lo hanno patrocinato.</w:t>
      </w:r>
    </w:p>
    <w:p w:rsidR="00E26422" w:rsidRDefault="00E26422" w:rsidP="00E26422">
      <w:pPr>
        <w:pStyle w:val="NormaleWeb"/>
        <w:shd w:val="clear" w:color="auto" w:fill="FFFFFF"/>
        <w:spacing w:before="120" w:beforeAutospacing="0" w:after="120" w:afterAutospacing="0"/>
        <w:contextualSpacing/>
        <w:jc w:val="both"/>
        <w:rPr>
          <w:color w:val="202122"/>
        </w:rPr>
      </w:pPr>
      <w:r>
        <w:rPr>
          <w:color w:val="202122"/>
        </w:rPr>
        <w:t>Gli spettacolari riti che si svolgono dopo il tramonto e che vedono i danzatori gettarsi contro i falò si riallacciano al cammino sui carboni ardenti, dall’</w:t>
      </w:r>
      <w:proofErr w:type="spellStart"/>
      <w:r w:rsidRPr="002E6D68">
        <w:rPr>
          <w:i/>
          <w:color w:val="202122"/>
        </w:rPr>
        <w:t>astenaria</w:t>
      </w:r>
      <w:proofErr w:type="spellEnd"/>
      <w:r>
        <w:rPr>
          <w:color w:val="202122"/>
        </w:rPr>
        <w:t xml:space="preserve"> della Grecia e della Bulgaria alle danze di Kandy: il fuoco non brucia, poiché la fede del danzatore è una fiamma più forte e il suo corpo è abitato dal dio.</w:t>
      </w:r>
    </w:p>
    <w:p w:rsidR="00B908D7" w:rsidRDefault="00B908D7" w:rsidP="00FD0825">
      <w:pPr>
        <w:pStyle w:val="NormaleWeb"/>
        <w:shd w:val="clear" w:color="auto" w:fill="FFFFFF"/>
        <w:spacing w:before="120" w:beforeAutospacing="0" w:after="120" w:afterAutospacing="0"/>
        <w:contextualSpacing/>
        <w:jc w:val="both"/>
      </w:pPr>
      <w:bookmarkStart w:id="0" w:name="_GoBack"/>
      <w:bookmarkEnd w:id="0"/>
      <w:r>
        <w:t xml:space="preserve">Il </w:t>
      </w:r>
      <w:proofErr w:type="spellStart"/>
      <w:r>
        <w:t>Theyyam</w:t>
      </w:r>
      <w:proofErr w:type="spellEnd"/>
      <w:r>
        <w:t xml:space="preserve"> diviene cosi cerniera fra i diversi strati sociali della popolazione </w:t>
      </w:r>
      <w:r w:rsidR="00E44023">
        <w:t>e legittima tutta una serie di riti di provenienza “sciamanica” non riconosciuti dal brahmanesimo tradizionale</w:t>
      </w:r>
      <w:r w:rsidR="00BE2325">
        <w:t>,</w:t>
      </w:r>
      <w:r w:rsidR="00E44023">
        <w:t xml:space="preserve"> ma fortemente partecipati dalla popolazione</w:t>
      </w:r>
      <w:r w:rsidR="002E6D68">
        <w:t>.</w:t>
      </w:r>
    </w:p>
    <w:p w:rsidR="00B908D7" w:rsidRDefault="00B908D7" w:rsidP="00FD0825">
      <w:pPr>
        <w:pStyle w:val="NormaleWeb"/>
        <w:shd w:val="clear" w:color="auto" w:fill="FFFFFF"/>
        <w:spacing w:before="120" w:beforeAutospacing="0" w:after="120" w:afterAutospacing="0"/>
        <w:contextualSpacing/>
        <w:jc w:val="both"/>
        <w:rPr>
          <w:color w:val="202122"/>
        </w:rPr>
      </w:pPr>
    </w:p>
    <w:p w:rsidR="00B908D7" w:rsidRDefault="00B908D7" w:rsidP="00FD0825">
      <w:pPr>
        <w:pStyle w:val="NormaleWeb"/>
        <w:shd w:val="clear" w:color="auto" w:fill="FFFFFF"/>
        <w:spacing w:before="120" w:beforeAutospacing="0" w:after="120" w:afterAutospacing="0"/>
        <w:contextualSpacing/>
        <w:jc w:val="both"/>
        <w:rPr>
          <w:color w:val="202122"/>
        </w:rPr>
      </w:pPr>
    </w:p>
    <w:p w:rsidR="00982792" w:rsidRPr="005E6A5F" w:rsidRDefault="00982792" w:rsidP="00FD0825">
      <w:pPr>
        <w:pStyle w:val="NormaleWeb"/>
        <w:shd w:val="clear" w:color="auto" w:fill="FFFFFF"/>
        <w:spacing w:before="120" w:beforeAutospacing="0" w:after="240" w:afterAutospacing="0"/>
        <w:contextualSpacing/>
        <w:jc w:val="both"/>
        <w:rPr>
          <w:strike/>
          <w:color w:val="202122"/>
        </w:rPr>
      </w:pPr>
    </w:p>
    <w:p w:rsidR="00F71C68" w:rsidRPr="00F21879" w:rsidRDefault="00F71C68" w:rsidP="00FD0825">
      <w:pPr>
        <w:contextualSpacing/>
        <w:jc w:val="both"/>
        <w:rPr>
          <w:rFonts w:ascii="Times New Roman" w:hAnsi="Times New Roman" w:cs="Times New Roman"/>
        </w:rPr>
      </w:pPr>
    </w:p>
    <w:sectPr w:rsidR="00F71C68" w:rsidRPr="00F21879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92"/>
    <w:rsid w:val="00163046"/>
    <w:rsid w:val="002866F1"/>
    <w:rsid w:val="002E6D68"/>
    <w:rsid w:val="0041564B"/>
    <w:rsid w:val="00486EE7"/>
    <w:rsid w:val="005E6A5F"/>
    <w:rsid w:val="00614D7E"/>
    <w:rsid w:val="007B02FE"/>
    <w:rsid w:val="00982792"/>
    <w:rsid w:val="00AF03E6"/>
    <w:rsid w:val="00B36D25"/>
    <w:rsid w:val="00B47D7E"/>
    <w:rsid w:val="00B908D7"/>
    <w:rsid w:val="00BD51B9"/>
    <w:rsid w:val="00BE2325"/>
    <w:rsid w:val="00CC2C4C"/>
    <w:rsid w:val="00CE0FDC"/>
    <w:rsid w:val="00DA5002"/>
    <w:rsid w:val="00E26422"/>
    <w:rsid w:val="00E44023"/>
    <w:rsid w:val="00F21879"/>
    <w:rsid w:val="00F71C68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39B6E"/>
  <w15:chartTrackingRefBased/>
  <w15:docId w15:val="{21B18A34-7E43-444C-97B2-8DFA9A4F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827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279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9827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82792"/>
    <w:rPr>
      <w:color w:val="0000FF"/>
      <w:u w:val="single"/>
    </w:rPr>
  </w:style>
  <w:style w:type="character" w:customStyle="1" w:styleId="mw-headline">
    <w:name w:val="mw-headline"/>
    <w:basedOn w:val="Carpredefinitoparagrafo"/>
    <w:rsid w:val="00982792"/>
  </w:style>
  <w:style w:type="character" w:customStyle="1" w:styleId="mw-editsection">
    <w:name w:val="mw-editsection"/>
    <w:basedOn w:val="Carpredefinitoparagrafo"/>
    <w:rsid w:val="00982792"/>
  </w:style>
  <w:style w:type="character" w:customStyle="1" w:styleId="mw-editsection-bracket">
    <w:name w:val="mw-editsection-bracket"/>
    <w:basedOn w:val="Carpredefinitoparagrafo"/>
    <w:rsid w:val="00982792"/>
  </w:style>
  <w:style w:type="character" w:customStyle="1" w:styleId="Titolo1Carattere">
    <w:name w:val="Titolo 1 Carattere"/>
    <w:basedOn w:val="Carpredefinitoparagrafo"/>
    <w:link w:val="Titolo1"/>
    <w:uiPriority w:val="9"/>
    <w:rsid w:val="00DA5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page-title-main">
    <w:name w:val="mw-page-title-main"/>
    <w:basedOn w:val="Carpredefinitoparagrafo"/>
    <w:rsid w:val="00DA5002"/>
  </w:style>
  <w:style w:type="character" w:styleId="Menzionenonrisolta">
    <w:name w:val="Unresolved Mention"/>
    <w:basedOn w:val="Carpredefinitoparagrafo"/>
    <w:uiPriority w:val="99"/>
    <w:semiHidden/>
    <w:unhideWhenUsed/>
    <w:rsid w:val="0041564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6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dcterms:created xsi:type="dcterms:W3CDTF">2023-12-25T18:25:00Z</dcterms:created>
  <dcterms:modified xsi:type="dcterms:W3CDTF">2024-01-02T18:28:00Z</dcterms:modified>
</cp:coreProperties>
</file>