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AE" w:rsidRPr="00CD20AE" w:rsidRDefault="00CD20AE" w:rsidP="00CD20AE">
      <w:pPr>
        <w:pStyle w:val="Sottotitolo"/>
        <w:ind w:right="566" w:firstLine="283"/>
        <w:jc w:val="right"/>
        <w:rPr>
          <w:rFonts w:ascii="Times New Roman" w:eastAsia="DotumChe" w:hAnsi="Times New Roman" w:cs="Times New Roman"/>
          <w:b/>
          <w:i w:val="0"/>
          <w:color w:val="auto"/>
          <w:sz w:val="48"/>
        </w:rPr>
      </w:pPr>
      <w:bookmarkStart w:id="0" w:name="_GoBack"/>
      <w:r w:rsidRPr="00CD20AE">
        <w:rPr>
          <w:rFonts w:ascii="Times New Roman" w:eastAsia="DotumChe" w:hAnsi="Times New Roman" w:cs="Times New Roman"/>
          <w:b/>
          <w:i w:val="0"/>
          <w:color w:val="auto"/>
          <w:sz w:val="48"/>
        </w:rPr>
        <w:t>INDUISMO</w:t>
      </w:r>
      <w:r w:rsidRPr="00CD20AE">
        <w:rPr>
          <w:rFonts w:ascii="Times New Roman" w:eastAsia="DotumChe" w:hAnsi="Times New Roman" w:cs="Times New Roman"/>
          <w:b/>
          <w:i w:val="0"/>
          <w:color w:val="auto"/>
          <w:sz w:val="48"/>
        </w:rPr>
        <w:t xml:space="preserve">  14</w:t>
      </w:r>
    </w:p>
    <w:bookmarkEnd w:id="0"/>
    <w:p w:rsidR="00CE1863" w:rsidRDefault="00CE1863" w:rsidP="00CE1863">
      <w:pPr>
        <w:pStyle w:val="Sottotitolo"/>
        <w:ind w:right="566" w:firstLine="283"/>
        <w:jc w:val="center"/>
        <w:rPr>
          <w:rFonts w:ascii="Times New Roman" w:eastAsia="DotumChe" w:hAnsi="Times New Roman" w:cs="Times New Roman"/>
          <w:b/>
          <w:i w:val="0"/>
        </w:rPr>
      </w:pPr>
      <w:r>
        <w:rPr>
          <w:rFonts w:ascii="Times New Roman" w:eastAsia="DotumChe" w:hAnsi="Times New Roman" w:cs="Times New Roman"/>
          <w:b/>
          <w:i w:val="0"/>
          <w:color w:val="auto"/>
        </w:rPr>
        <w:t>CORSO DI STORIA DELL’INDUISMO</w:t>
      </w:r>
    </w:p>
    <w:p w:rsidR="00CE1863" w:rsidRDefault="00CE1863" w:rsidP="00CE1863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  <w:r>
        <w:t>ANNO ACCADEMICO 2023– 2024</w:t>
      </w:r>
    </w:p>
    <w:p w:rsidR="00CE1863" w:rsidRDefault="00CE1863" w:rsidP="00CE1863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</w:p>
    <w:p w:rsidR="00CE1863" w:rsidRDefault="00CE1863" w:rsidP="00CE1863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  <w:r>
        <w:t>Lezione 14° - 20 febbraio 2024</w:t>
      </w:r>
    </w:p>
    <w:p w:rsidR="00CE1863" w:rsidRDefault="00CE1863" w:rsidP="00CE1863">
      <w:pPr>
        <w:ind w:left="851" w:right="566" w:firstLine="283"/>
        <w:rPr>
          <w:lang w:eastAsia="it-IT"/>
        </w:rPr>
      </w:pPr>
    </w:p>
    <w:p w:rsidR="00CE1863" w:rsidRDefault="00CE1863" w:rsidP="00CE1863">
      <w:pPr>
        <w:pStyle w:val="Paragrafoelenco"/>
        <w:numPr>
          <w:ilvl w:val="0"/>
          <w:numId w:val="1"/>
        </w:num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L’idea di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dharma.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Non è possibile tradurre il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termine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dharma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in quanto non esiste un perfetto equivalente semantico che possa veicolarne l’ampiezza di significato in nessuna lingua occidentale. Il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termine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dharma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stato variamente tradotto come “dovere”, “religione”, “giustizia”, “legge”, “etica”, “principio religioso”, “merito religioso”. In particolare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dharma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l’esecuzione del rito vedico da parte dei bramani.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Esso è “l’ordine rituale del sacrificio vedico” che si riferisce in special modo ai riti solenni prescritti a tutti i brahmani, ai riti domestici e agli obbli</w:t>
      </w:r>
      <w:r w:rsidR="001D44D5">
        <w:rPr>
          <w:rFonts w:ascii="Times New Roman" w:hAnsi="Times New Roman" w:cs="Times New Roman"/>
          <w:sz w:val="24"/>
          <w:szCs w:val="24"/>
          <w:lang w:eastAsia="it-IT"/>
        </w:rPr>
        <w:t>ghi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imposti alla propria famiglia e al proprio gruppo sociale.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dharma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un’ideologia onnicomprensiva che abbraccia sia la condotta morale che quella rituale, trascurare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dharma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comporta conseguenze negative sia sul piano sociale e personale.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Qualcuno lo ha definito come ciò di cui l’ingiunzione è il tratto fondamentale. Ciò significa che è l’obbligo prescritto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dal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Veda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 di eseguire l’atto rituale che non reca con sé alcuna ricompensa, ma la cui mancato esecuzione sarebbe comparabile al “peccato”. I riti, e in particolare quelli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solenni,  servono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alla loro stessa realizzazione: il rito è per il rito sebbene possa comportare una ricompensa celeste per il committente rituale.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Un brahmano può anche eseguire riti straordinari per guadagnare ricchezza e felicità in questo mondo e in quello futuro, ma questi riti non sono obbligatori. Il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dharma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si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identifica </w:t>
      </w:r>
      <w:r w:rsidR="001D44D5">
        <w:rPr>
          <w:rFonts w:ascii="Times New Roman" w:hAnsi="Times New Roman" w:cs="Times New Roman"/>
          <w:sz w:val="24"/>
          <w:szCs w:val="24"/>
          <w:lang w:eastAsia="it-IT"/>
        </w:rPr>
        <w:t>con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il dovere vedico, che è eterno e con un’azione particolare: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dharma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trascendente si manifesta sul piano umano nell’azione rituale, perché si produca ciò che è buono.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2 . Per quanto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dharma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sia un concetto fondamentale in relazione alla gestione del potere regale e pervada tutte le classi sociali hindu, i libri sulla legge riguardano soprattutto i doveri dei brahmani. Perché adempia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al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dharma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l’azione rituale di un bramano deve essere pura. Benché esista un dibattito sul ruolo della purezza nell’ induismo, e si discuta se esso sia subordinato o superiore al potere politico, è indubbio che il concetto di purezza è di fondamentale importanza.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corpo che ogni giorno è contaminato dai suoi umori, dovrebbe essere reso il più puro possibile per mezzo della purificazione rituale, il cui strumento principale è l’acqua. Il bramano, in virtù della propria appartenenza alla classe più elevata, è escluso da ogni tipo di interazione con le altre classi: regole alimentari e strette norme matrimoniali assicurano una netta conservazione dei confini.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Sul piano universale 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dharma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un principio cosmico ed eterno, che deve tuttavia entrare in relazione anche con il mondo degli affari umani. A un certo livello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daharma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riguarda le leggi specifiche e i contesti in cui esse sono applicate. Ciò significa che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dharma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può adattarsi a situazioni particolari e che s</w:t>
      </w:r>
      <w:r w:rsidR="001D44D5">
        <w:rPr>
          <w:rFonts w:ascii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 stabilivano applicazioni specifiche in assemblee locali di un certo numero di uomini dotti.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I doveri religiosi degli uomini mutano secondo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dell’età,  della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casta, della famiglia, del paese. Un re, per esempio, deve giudicare a seconda dei principi e dei doveri particolari di ogni regione. Questo concetto è importante per comprendere che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dharma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è relativo, dipende dai diversi contesti: ciò che per un guerriero è giusto fare, sarebbe ingiusto per un bramano, ciò che è giusto per un uomo sarebbe ingiusto per una donna e così via.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3 . La società vedica, come si è visto, era divisa in quattro classi: i bramani, i nobili o guerrieri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ksatria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), la classe del popolo comune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vaisya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e i servi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sudra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>).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Le prime tre classi erano inoltre dette “due volte nate”, in relazione all’iniziazione cui erano sottoposti i loro membri maschi da ragazzi.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Questo sistema si inseriva in una più ampia catena degli esseri organizzata in una gerarchia cosmica in cui diverse categorie erano ordinate secondo variabili di sottigliezza e purezza associate le une alle altre. Soltanto ai due volte nati era permesso di ascoltare il 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Veda, </w:t>
      </w:r>
      <w:r>
        <w:rPr>
          <w:rFonts w:ascii="Times New Roman" w:hAnsi="Times New Roman" w:cs="Times New Roman"/>
          <w:sz w:val="24"/>
          <w:szCs w:val="24"/>
          <w:lang w:eastAsia="it-IT"/>
        </w:rPr>
        <w:t>e sebbene originariamente tutti costoro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potessero apprenderlo, </w:t>
      </w:r>
      <w:proofErr w:type="spellStart"/>
      <w:r w:rsidR="001D44D5">
        <w:rPr>
          <w:rFonts w:ascii="Times New Roman" w:hAnsi="Times New Roman" w:cs="Times New Roman"/>
          <w:sz w:val="24"/>
          <w:szCs w:val="24"/>
          <w:lang w:eastAsia="it-IT"/>
        </w:rPr>
        <w:t>un</w:t>
      </w:r>
      <w:r>
        <w:rPr>
          <w:rFonts w:ascii="Times New Roman" w:hAnsi="Times New Roman" w:cs="Times New Roman"/>
          <w:sz w:val="24"/>
          <w:szCs w:val="24"/>
          <w:lang w:eastAsia="it-IT"/>
        </w:rPr>
        <w:t>tempo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 bramani ne divennero gli unici guardiani, coloro che potevano impararlo e recitarlo durante i riti.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Compito dei bramani è insegnare il 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veda </w:t>
      </w:r>
      <w:r>
        <w:rPr>
          <w:rFonts w:ascii="Times New Roman" w:hAnsi="Times New Roman" w:cs="Times New Roman"/>
          <w:sz w:val="24"/>
          <w:szCs w:val="24"/>
        </w:rPr>
        <w:t xml:space="preserve">e compiere sacrifici per gli altri: dovere degli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invece praticare l’arte guerriera e proteggere il popolo.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vaisya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dovrebbero custodire il bestiame, praticare l’agricoltura e prestare denari,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dovrebbero infine servire le altre tre classi e praticare le arti.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bramani erano associati al bianco, il colore della purezza e della luminosità, gli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ksatrya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rosso, il colore della passione e dell’energia,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vaisya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 giallo, il colore della terra, i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nero, il colore dell’oscurità e dell’inerzia.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Mentre il termine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riferisce alle quattro classi della società vedica, il termine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(nascita) indica quei segmenti endogami della società hindu che sono noti come “caste”. Le caste presentano le seguenti caratteristiche: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 ogni regione le caste sono organizzate in una struttura gerarchica, con i bramani in cima e alla base gli intoccabili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harijan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 li chiamava Gandhi,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si autodesignano</w:t>
      </w:r>
      <w:r w:rsidR="001539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gerarchia castale si basa sulla polarità tra purezza e contaminazione. I bramani sono la casta più pura, gli intoccabili quella più impura.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per ogni individuo la casta è inalienabile: essa è una proprietà de</w:t>
      </w:r>
      <w:r w:rsidR="001539E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corpo e non può essere rimossa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esistono norme rigide che prescrivono l’endogamia e la condivisione del cibo all’interno della casta.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termine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si riferisce unicamente alle classi sociali, ma a tutte le categorie di esseri. Gli insetti, le piante, gli animali domestici, gli animali selvatici e gli esseri celesti sono tutti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>, il che dimostra che le differenze fra le caste umane possono essere considerate tanto grandi quanto le differenze fra specie diverse.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membri di una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condividono la stessa sostanza corporea, sostanza che è ordinata gerarchicamente tra le altre. Questa “sostanza” è stata interpretata dagli antropologi come qualcosa che può essere scambiato nelle transazioni: gli attori sociali emettono e assorbono costantemente le “sostanze” proprie degli altri e non sono quindi individui autonomi. Nonostante sia mutato nel tempo, come ogni istituzione umana, il sistema castale ha conservato una certa continuità.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forniscono il modello stabile di un ordine sociale stratificato, all’interno del quale ogni gruppo è chiaramente definito e funziona come una parte di un sistema o</w:t>
      </w:r>
      <w:r w:rsidR="001539E1">
        <w:rPr>
          <w:rFonts w:ascii="Times New Roman" w:hAnsi="Times New Roman" w:cs="Times New Roman"/>
          <w:sz w:val="24"/>
          <w:szCs w:val="24"/>
        </w:rPr>
        <w:t>rganico,</w:t>
      </w:r>
      <w:r>
        <w:rPr>
          <w:rFonts w:ascii="Times New Roman" w:hAnsi="Times New Roman" w:cs="Times New Roman"/>
          <w:sz w:val="24"/>
          <w:szCs w:val="24"/>
        </w:rPr>
        <w:t xml:space="preserve"> come parte di quel corpo sociale che è anche il corpo dell’essere o dell’uomo primordiale, sacrificato all’inizio del tempo, secondo quanto stabilisce il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Rigveda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matrimoni tra membri di caste differenti sono condannati da Manu, ma nel caso in cui avvengano sono preferibili quelli in cui l’uomo appartiene a una casta superiore a quella della donna, detti “matrimoni secondo natura”, rispetto a quelli in cui l’uomo appartiene viceversa a una casta inferiore a quella della donna, i cosiddetti “matrimoni contro natura”.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Non è mai esistita una casta dei “cucinatori di cani”, questa locuzione è solo un esempio della retorica di cui Manu si avvale per identificare i diversi gruppi sociali con le creature più impure, come i galli, i cani e i maiali. Se un bramano viene toccato da un membro di questi gruppi, come anche da qualcuno che abbia perso la casta o da una donna mestruata, dovrebbe purificarsi con un bagno.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Sebbene l’intoccabilità sia ora proibita in India, le caste degli intoccabili costituiscono circa un quinto della popolazione indiana. Esse erano completamente escluse dalla società vedica e dalle tradizioni rituali delle caste alte, era “fuori casta” in quanto al di fuori del sistema delle quattro classi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intoccabili non avevano alcun posto all’interno degli ordini sociali superiori, dovevano vivere al di fuori dei villaggi, ed eseguire lavori servili e contaminanti, come lavorare la pelle e spazzare gli escrementi del villaggio. Le classi degli intoccabili risalgono quasi certamente al primo millennio a.C.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secondo concetto cardine nell’ideologia del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dharma 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quello degli stadi della vita o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Tale concetto deriva da una codificazione di diversi elementi presenti nella società vedica e da un tentativo di integrarli in un sistema coerente. I quattro stadi sono quelli dello studente casto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brahmacarya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quello del capofamiglia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grhasta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quello dell’eremita o dell’abitante delle selve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vanaprastha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e infine quello del rinunciatore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samnyasa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un concetto teologico il cui oggetto di speculazione è l’istituzione sociale sul quale il sistema riflette. Come il sistema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dei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gli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un modello, in questo caso connesso non con l’ordinamento sociale, ma con l’ordinamento diacronico della vita individuale: gli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il paradigma del modo in cui dovrebbe vivere un uomo di casta alta.</w:t>
      </w:r>
    </w:p>
    <w:p w:rsidR="00CE1863" w:rsidRDefault="00CE1863" w:rsidP="00CE1863">
      <w:pPr>
        <w:pStyle w:val="Paragrafoelenco"/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stadio di vita dello studente casto si riferisce al periodo tradizionale che segue l’iniziazione durante il quale </w:t>
      </w:r>
      <w:proofErr w:type="gramStart"/>
      <w:r>
        <w:rPr>
          <w:rFonts w:ascii="Times New Roman" w:hAnsi="Times New Roman" w:cs="Times New Roman"/>
          <w:sz w:val="24"/>
          <w:szCs w:val="24"/>
        </w:rPr>
        <w:t>i ragazzo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trasferisce presso la casa del suo maestro </w:t>
      </w:r>
      <w:r>
        <w:rPr>
          <w:rFonts w:ascii="Times New Roman" w:hAnsi="Times New Roman" w:cs="Times New Roman"/>
          <w:i/>
          <w:sz w:val="24"/>
          <w:szCs w:val="24"/>
        </w:rPr>
        <w:t>(guru</w:t>
      </w:r>
      <w:r>
        <w:rPr>
          <w:rFonts w:ascii="Times New Roman" w:hAnsi="Times New Roman" w:cs="Times New Roman"/>
          <w:sz w:val="24"/>
          <w:szCs w:val="24"/>
        </w:rPr>
        <w:t xml:space="preserve">) per imparare il Veda.: lo studente elemosina il cibo, indossa pelle di antilope, raccoglie il combustibile e pratica un’ascesi che genera calore.  </w:t>
      </w:r>
    </w:p>
    <w:p w:rsidR="00CE1863" w:rsidRDefault="00CE1863" w:rsidP="00CE1863">
      <w:pPr>
        <w:pStyle w:val="Sottotitolo"/>
        <w:ind w:right="849" w:firstLine="283"/>
        <w:jc w:val="center"/>
        <w:rPr>
          <w:rFonts w:ascii="Times New Roman" w:eastAsia="DotumChe" w:hAnsi="Times New Roman" w:cs="Times New Roman"/>
          <w:b/>
          <w:i w:val="0"/>
          <w:color w:val="auto"/>
        </w:rPr>
      </w:pPr>
    </w:p>
    <w:p w:rsidR="00CE1863" w:rsidRDefault="00CE1863" w:rsidP="00CE1863">
      <w:pPr>
        <w:pStyle w:val="Sottotitolo"/>
        <w:ind w:right="849" w:firstLine="283"/>
        <w:jc w:val="center"/>
        <w:rPr>
          <w:rFonts w:ascii="Times New Roman" w:eastAsia="DotumChe" w:hAnsi="Times New Roman" w:cs="Times New Roman"/>
          <w:b/>
          <w:i w:val="0"/>
          <w:color w:val="auto"/>
        </w:rPr>
      </w:pPr>
    </w:p>
    <w:p w:rsidR="00B71EDD" w:rsidRPr="00CE1863" w:rsidRDefault="00B71EDD" w:rsidP="00CE1863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</w:rPr>
      </w:pPr>
    </w:p>
    <w:sectPr w:rsidR="00B71EDD" w:rsidRPr="00CE1863" w:rsidSect="00CD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94988"/>
    <w:multiLevelType w:val="hybridMultilevel"/>
    <w:tmpl w:val="FCE0C3CE"/>
    <w:lvl w:ilvl="0" w:tplc="E84061F8">
      <w:start w:val="1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63"/>
    <w:rsid w:val="001539E1"/>
    <w:rsid w:val="001D44D5"/>
    <w:rsid w:val="00B71EDD"/>
    <w:rsid w:val="00CD20AE"/>
    <w:rsid w:val="00C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EDC1"/>
  <w15:chartTrackingRefBased/>
  <w15:docId w15:val="{0B332A0A-C8D4-4770-9F41-669C301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863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CE1863"/>
    <w:pPr>
      <w:keepNext/>
      <w:spacing w:after="0" w:line="240" w:lineRule="auto"/>
      <w:ind w:left="1080" w:right="518" w:hanging="142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863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1863"/>
    <w:pPr>
      <w:spacing w:line="252" w:lineRule="auto"/>
      <w:ind w:left="851" w:hanging="142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18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4</cp:revision>
  <dcterms:created xsi:type="dcterms:W3CDTF">2024-02-13T07:39:00Z</dcterms:created>
  <dcterms:modified xsi:type="dcterms:W3CDTF">2024-02-20T13:25:00Z</dcterms:modified>
</cp:coreProperties>
</file>