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77E" w:rsidRPr="003A477E" w:rsidRDefault="003A477E" w:rsidP="003A477E">
      <w:pPr>
        <w:tabs>
          <w:tab w:val="left" w:pos="0"/>
        </w:tabs>
        <w:spacing w:line="360" w:lineRule="auto"/>
        <w:jc w:val="right"/>
        <w:rPr>
          <w:rFonts w:ascii="Times New Roman" w:hAnsi="Times New Roman" w:cs="Times New Roman"/>
          <w:b/>
          <w:sz w:val="40"/>
          <w:szCs w:val="28"/>
        </w:rPr>
      </w:pPr>
      <w:bookmarkStart w:id="0" w:name="_GoBack"/>
      <w:r w:rsidRPr="003A477E">
        <w:rPr>
          <w:rFonts w:ascii="Times New Roman" w:hAnsi="Times New Roman" w:cs="Times New Roman"/>
          <w:b/>
          <w:sz w:val="40"/>
          <w:szCs w:val="28"/>
        </w:rPr>
        <w:t>ANIMISMO</w:t>
      </w:r>
      <w:r w:rsidRPr="003A477E">
        <w:rPr>
          <w:rFonts w:ascii="Times New Roman" w:hAnsi="Times New Roman" w:cs="Times New Roman"/>
          <w:b/>
          <w:sz w:val="36"/>
          <w:szCs w:val="24"/>
        </w:rPr>
        <w:t xml:space="preserve"> 2</w:t>
      </w:r>
    </w:p>
    <w:bookmarkEnd w:id="0"/>
    <w:p w:rsidR="00FB0285" w:rsidRDefault="00FB0285" w:rsidP="00616D4B">
      <w:pPr>
        <w:pStyle w:val="Titolo1"/>
        <w:spacing w:before="0" w:line="360" w:lineRule="auto"/>
        <w:ind w:left="851" w:right="142"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STORIA DELLE RELIGIONI COMPARATE</w:t>
      </w:r>
    </w:p>
    <w:p w:rsidR="00FB0285" w:rsidRDefault="00FB0285" w:rsidP="000379E9">
      <w:pPr>
        <w:pStyle w:val="Titolo1"/>
        <w:spacing w:before="0"/>
        <w:ind w:left="851" w:right="66"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ANNO ACCADEMICO 2026-2027</w:t>
      </w:r>
    </w:p>
    <w:p w:rsidR="00FB0285" w:rsidRDefault="00FB0285" w:rsidP="00FB0285">
      <w:r>
        <w:tab/>
      </w:r>
      <w:r>
        <w:tab/>
      </w:r>
      <w:r>
        <w:tab/>
      </w:r>
    </w:p>
    <w:p w:rsidR="00FB0285" w:rsidRDefault="00FB0285" w:rsidP="00350219">
      <w:pPr>
        <w:tabs>
          <w:tab w:val="left" w:pos="0"/>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ANIMISMO</w:t>
      </w:r>
    </w:p>
    <w:p w:rsidR="008B57DE" w:rsidRDefault="0099705F" w:rsidP="0099705F">
      <w:pPr>
        <w:spacing w:line="360" w:lineRule="auto"/>
        <w:ind w:left="1134" w:right="142" w:hanging="283"/>
        <w:rPr>
          <w:rFonts w:ascii="Times New Roman" w:hAnsi="Times New Roman" w:cs="Times New Roman"/>
          <w:b/>
          <w:sz w:val="28"/>
          <w:szCs w:val="28"/>
        </w:rPr>
      </w:pPr>
      <w:r>
        <w:rPr>
          <w:rFonts w:ascii="Times New Roman" w:hAnsi="Times New Roman" w:cs="Times New Roman"/>
          <w:b/>
          <w:sz w:val="28"/>
          <w:szCs w:val="28"/>
        </w:rPr>
        <w:t xml:space="preserve">      </w:t>
      </w:r>
      <w:r w:rsidR="008B57DE">
        <w:rPr>
          <w:rFonts w:ascii="Times New Roman" w:hAnsi="Times New Roman" w:cs="Times New Roman"/>
          <w:b/>
          <w:sz w:val="28"/>
          <w:szCs w:val="28"/>
        </w:rPr>
        <w:tab/>
      </w:r>
      <w:r w:rsidR="008B57DE">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8B57DE">
        <w:rPr>
          <w:rFonts w:ascii="Times New Roman" w:hAnsi="Times New Roman" w:cs="Times New Roman"/>
          <w:b/>
          <w:sz w:val="28"/>
          <w:szCs w:val="28"/>
        </w:rPr>
        <w:t xml:space="preserve">            </w:t>
      </w:r>
      <w:r w:rsidR="005A2C2C">
        <w:rPr>
          <w:rFonts w:ascii="Times New Roman" w:hAnsi="Times New Roman" w:cs="Times New Roman"/>
          <w:b/>
          <w:sz w:val="28"/>
          <w:szCs w:val="28"/>
        </w:rPr>
        <w:t>Lezione 2</w:t>
      </w:r>
      <w:r w:rsidR="008B57DE">
        <w:rPr>
          <w:rFonts w:ascii="Times New Roman" w:hAnsi="Times New Roman" w:cs="Times New Roman"/>
          <w:b/>
          <w:sz w:val="28"/>
          <w:szCs w:val="28"/>
        </w:rPr>
        <w:tab/>
      </w:r>
      <w:r w:rsidR="008B57DE">
        <w:rPr>
          <w:rFonts w:ascii="Times New Roman" w:hAnsi="Times New Roman" w:cs="Times New Roman"/>
          <w:b/>
          <w:sz w:val="28"/>
          <w:szCs w:val="28"/>
        </w:rPr>
        <w:tab/>
      </w:r>
      <w:r w:rsidR="008B57DE">
        <w:rPr>
          <w:rFonts w:ascii="Times New Roman" w:hAnsi="Times New Roman" w:cs="Times New Roman"/>
          <w:b/>
          <w:sz w:val="28"/>
          <w:szCs w:val="28"/>
        </w:rPr>
        <w:tab/>
      </w:r>
      <w:r w:rsidR="008B57DE">
        <w:rPr>
          <w:rFonts w:ascii="Times New Roman" w:hAnsi="Times New Roman" w:cs="Times New Roman"/>
          <w:b/>
          <w:sz w:val="28"/>
          <w:szCs w:val="28"/>
        </w:rPr>
        <w:tab/>
      </w:r>
      <w:r w:rsidR="008B57DE">
        <w:rPr>
          <w:rFonts w:ascii="Times New Roman" w:hAnsi="Times New Roman" w:cs="Times New Roman"/>
          <w:b/>
          <w:sz w:val="28"/>
          <w:szCs w:val="28"/>
        </w:rPr>
        <w:tab/>
      </w:r>
      <w:r w:rsidR="008B57DE">
        <w:rPr>
          <w:rFonts w:ascii="Times New Roman" w:hAnsi="Times New Roman" w:cs="Times New Roman"/>
          <w:b/>
          <w:sz w:val="28"/>
          <w:szCs w:val="28"/>
        </w:rPr>
        <w:tab/>
        <w:t xml:space="preserve">                             20 ottobre 2026</w:t>
      </w:r>
    </w:p>
    <w:p w:rsidR="00870528" w:rsidRDefault="00616D4B" w:rsidP="00DA2DCB">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 xml:space="preserve">1 . La teoria di </w:t>
      </w:r>
      <w:proofErr w:type="spellStart"/>
      <w:r>
        <w:rPr>
          <w:rFonts w:ascii="Times New Roman" w:hAnsi="Times New Roman" w:cs="Times New Roman"/>
          <w:sz w:val="28"/>
          <w:szCs w:val="28"/>
        </w:rPr>
        <w:t>Tylor</w:t>
      </w:r>
      <w:proofErr w:type="spellEnd"/>
      <w:r>
        <w:rPr>
          <w:rFonts w:ascii="Times New Roman" w:hAnsi="Times New Roman" w:cs="Times New Roman"/>
          <w:sz w:val="28"/>
          <w:szCs w:val="28"/>
        </w:rPr>
        <w:t xml:space="preserve"> presupponeva che la forma più antica di religione avesse avuto il proprio nucleo pulsante su un concetto: la pluralità di spiriti e di anime e la loro presenza attiva in corpi e cose. Si</w:t>
      </w:r>
      <w:r w:rsidR="000C1CCF">
        <w:rPr>
          <w:rFonts w:ascii="Times New Roman" w:hAnsi="Times New Roman" w:cs="Times New Roman"/>
          <w:sz w:val="28"/>
          <w:szCs w:val="28"/>
        </w:rPr>
        <w:t xml:space="preserve"> </w:t>
      </w:r>
      <w:r>
        <w:rPr>
          <w:rFonts w:ascii="Times New Roman" w:hAnsi="Times New Roman" w:cs="Times New Roman"/>
          <w:sz w:val="28"/>
          <w:szCs w:val="28"/>
        </w:rPr>
        <w:t>tratta comunque di una tesi ogg</w:t>
      </w:r>
      <w:r w:rsidR="000379E9">
        <w:rPr>
          <w:rFonts w:ascii="Times New Roman" w:hAnsi="Times New Roman" w:cs="Times New Roman"/>
          <w:sz w:val="28"/>
          <w:szCs w:val="28"/>
        </w:rPr>
        <w:t>ettivamente difficile</w:t>
      </w:r>
      <w:r>
        <w:rPr>
          <w:rFonts w:ascii="Times New Roman" w:hAnsi="Times New Roman" w:cs="Times New Roman"/>
          <w:sz w:val="28"/>
          <w:szCs w:val="28"/>
        </w:rPr>
        <w:t xml:space="preserve"> da applicare </w:t>
      </w:r>
      <w:r>
        <w:rPr>
          <w:rFonts w:ascii="Times New Roman" w:hAnsi="Times New Roman" w:cs="Times New Roman"/>
          <w:i/>
          <w:sz w:val="28"/>
          <w:szCs w:val="28"/>
        </w:rPr>
        <w:t>tout court</w:t>
      </w:r>
      <w:r>
        <w:rPr>
          <w:rFonts w:ascii="Times New Roman" w:hAnsi="Times New Roman" w:cs="Times New Roman"/>
          <w:sz w:val="28"/>
          <w:szCs w:val="28"/>
        </w:rPr>
        <w:t xml:space="preserve"> all’analisi antropologica applicata ai fenomeni connessi al sacro e alla religione. Essa resta comunque un fatto fondamentale</w:t>
      </w:r>
      <w:r w:rsidR="00305831">
        <w:rPr>
          <w:rFonts w:ascii="Times New Roman" w:hAnsi="Times New Roman" w:cs="Times New Roman"/>
          <w:sz w:val="28"/>
          <w:szCs w:val="28"/>
        </w:rPr>
        <w:t xml:space="preserve">: le tesi sull’anima anche se da </w:t>
      </w:r>
      <w:r>
        <w:rPr>
          <w:rFonts w:ascii="Times New Roman" w:hAnsi="Times New Roman" w:cs="Times New Roman"/>
          <w:sz w:val="28"/>
          <w:szCs w:val="28"/>
        </w:rPr>
        <w:t xml:space="preserve">alcuni sono considerate ormai irrilevanti per la storia delle idee, risultano importanti all’interno del pensiero moderno. </w:t>
      </w:r>
      <w:r w:rsidR="000379E9">
        <w:rPr>
          <w:rFonts w:ascii="Times New Roman" w:hAnsi="Times New Roman" w:cs="Times New Roman"/>
          <w:sz w:val="28"/>
          <w:szCs w:val="28"/>
        </w:rPr>
        <w:t xml:space="preserve"> Senza dubbio infatti, infatti, l’animismo ha avuto una ricaduta importante nella cultura del XX secolo e ancora compare come un modello importante nella dinamica interpretativa posta alla base del linguaggio delle religioni.</w:t>
      </w:r>
    </w:p>
    <w:p w:rsidR="000379E9" w:rsidRDefault="000379E9" w:rsidP="000C1CCF">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L’animismo inoltre, è una risposta precisa, se pur parziale, al desiderio (alcuni parlano di ossessione) dell’uomo di conoscere le</w:t>
      </w:r>
      <w:r w:rsidR="00305831">
        <w:rPr>
          <w:rFonts w:ascii="Times New Roman" w:hAnsi="Times New Roman" w:cs="Times New Roman"/>
          <w:sz w:val="28"/>
          <w:szCs w:val="28"/>
        </w:rPr>
        <w:t xml:space="preserve"> origini del fenomeno religioso</w:t>
      </w:r>
      <w:r w:rsidR="00EA7CCA">
        <w:rPr>
          <w:rFonts w:ascii="Times New Roman" w:hAnsi="Times New Roman" w:cs="Times New Roman"/>
          <w:sz w:val="28"/>
          <w:szCs w:val="28"/>
        </w:rPr>
        <w:t xml:space="preserve">. </w:t>
      </w:r>
      <w:r>
        <w:rPr>
          <w:rFonts w:ascii="Times New Roman" w:hAnsi="Times New Roman" w:cs="Times New Roman"/>
          <w:sz w:val="28"/>
          <w:szCs w:val="28"/>
        </w:rPr>
        <w:t>I</w:t>
      </w:r>
      <w:r w:rsidR="0086317C">
        <w:rPr>
          <w:rFonts w:ascii="Times New Roman" w:hAnsi="Times New Roman" w:cs="Times New Roman"/>
          <w:sz w:val="28"/>
          <w:szCs w:val="28"/>
        </w:rPr>
        <w:t xml:space="preserve">l bisogno </w:t>
      </w:r>
      <w:r>
        <w:rPr>
          <w:rFonts w:ascii="Times New Roman" w:hAnsi="Times New Roman" w:cs="Times New Roman"/>
          <w:sz w:val="28"/>
          <w:szCs w:val="28"/>
        </w:rPr>
        <w:t>di conoscere le radici della religione ebbe nell’animismo una sorta di cavallo di Troia, entro il quale posizionare le istanze che alimentano da sempre l’uomo quando cerca di dare un senso e una fisionomia all’esperienza spirituale.</w:t>
      </w:r>
    </w:p>
    <w:p w:rsidR="006774FA" w:rsidRDefault="006774FA" w:rsidP="00DA2DCB">
      <w:pPr>
        <w:spacing w:after="0" w:line="360" w:lineRule="auto"/>
        <w:ind w:left="851" w:right="142"/>
        <w:jc w:val="both"/>
        <w:rPr>
          <w:rFonts w:ascii="Times New Roman" w:hAnsi="Times New Roman" w:cs="Times New Roman"/>
          <w:sz w:val="28"/>
          <w:szCs w:val="28"/>
        </w:rPr>
      </w:pPr>
    </w:p>
    <w:p w:rsidR="00EA7CCA" w:rsidRDefault="006774FA" w:rsidP="006774FA">
      <w:pPr>
        <w:spacing w:after="0" w:line="360" w:lineRule="auto"/>
        <w:ind w:left="851" w:right="142" w:firstLine="283"/>
        <w:jc w:val="both"/>
        <w:rPr>
          <w:rFonts w:ascii="Times New Roman" w:hAnsi="Times New Roman" w:cs="Times New Roman"/>
          <w:sz w:val="28"/>
          <w:szCs w:val="28"/>
        </w:rPr>
      </w:pPr>
      <w:r>
        <w:rPr>
          <w:rFonts w:ascii="Times New Roman" w:hAnsi="Times New Roman" w:cs="Times New Roman"/>
          <w:sz w:val="28"/>
          <w:szCs w:val="28"/>
        </w:rPr>
        <w:t>2 .</w:t>
      </w:r>
      <w:r w:rsidR="00EA7CCA">
        <w:rPr>
          <w:rFonts w:ascii="Times New Roman" w:hAnsi="Times New Roman" w:cs="Times New Roman"/>
          <w:sz w:val="28"/>
          <w:szCs w:val="28"/>
        </w:rPr>
        <w:t xml:space="preserve"> </w:t>
      </w:r>
      <w:r w:rsidR="00C22C85">
        <w:rPr>
          <w:rFonts w:ascii="Times New Roman" w:hAnsi="Times New Roman" w:cs="Times New Roman"/>
          <w:sz w:val="28"/>
          <w:szCs w:val="28"/>
        </w:rPr>
        <w:t>L</w:t>
      </w:r>
      <w:r w:rsidR="004010A5">
        <w:rPr>
          <w:rFonts w:ascii="Times New Roman" w:hAnsi="Times New Roman" w:cs="Times New Roman"/>
          <w:sz w:val="28"/>
          <w:szCs w:val="28"/>
        </w:rPr>
        <w:t xml:space="preserve">a teoria di </w:t>
      </w:r>
      <w:proofErr w:type="spellStart"/>
      <w:r w:rsidR="004010A5">
        <w:rPr>
          <w:rFonts w:ascii="Times New Roman" w:hAnsi="Times New Roman" w:cs="Times New Roman"/>
          <w:sz w:val="28"/>
          <w:szCs w:val="28"/>
        </w:rPr>
        <w:t>T</w:t>
      </w:r>
      <w:r w:rsidR="00C22C85">
        <w:rPr>
          <w:rFonts w:ascii="Times New Roman" w:hAnsi="Times New Roman" w:cs="Times New Roman"/>
          <w:sz w:val="28"/>
          <w:szCs w:val="28"/>
        </w:rPr>
        <w:t>ylor</w:t>
      </w:r>
      <w:proofErr w:type="spellEnd"/>
      <w:r w:rsidR="00C22C85">
        <w:rPr>
          <w:rFonts w:ascii="Times New Roman" w:hAnsi="Times New Roman" w:cs="Times New Roman"/>
          <w:sz w:val="28"/>
          <w:szCs w:val="28"/>
        </w:rPr>
        <w:t xml:space="preserve"> si contrapponeva ad altre, comunque dirette ad individuare un’origine della religione.</w:t>
      </w:r>
      <w:r w:rsidR="004010A5">
        <w:rPr>
          <w:rFonts w:ascii="Times New Roman" w:hAnsi="Times New Roman" w:cs="Times New Roman"/>
          <w:sz w:val="28"/>
          <w:szCs w:val="28"/>
        </w:rPr>
        <w:t xml:space="preserve"> </w:t>
      </w:r>
      <w:r w:rsidR="001466A8">
        <w:rPr>
          <w:rFonts w:ascii="Times New Roman" w:hAnsi="Times New Roman" w:cs="Times New Roman"/>
          <w:sz w:val="28"/>
          <w:szCs w:val="28"/>
        </w:rPr>
        <w:t xml:space="preserve">Herbert </w:t>
      </w:r>
      <w:proofErr w:type="spellStart"/>
      <w:r w:rsidR="001466A8">
        <w:rPr>
          <w:rFonts w:ascii="Times New Roman" w:hAnsi="Times New Roman" w:cs="Times New Roman"/>
          <w:sz w:val="28"/>
          <w:szCs w:val="28"/>
        </w:rPr>
        <w:t>Spenser</w:t>
      </w:r>
      <w:proofErr w:type="spellEnd"/>
      <w:r w:rsidR="001466A8">
        <w:rPr>
          <w:rFonts w:ascii="Times New Roman" w:hAnsi="Times New Roman" w:cs="Times New Roman"/>
          <w:sz w:val="28"/>
          <w:szCs w:val="28"/>
        </w:rPr>
        <w:t xml:space="preserve"> (1820-19</w:t>
      </w:r>
      <w:r w:rsidR="002F2061">
        <w:rPr>
          <w:rFonts w:ascii="Times New Roman" w:hAnsi="Times New Roman" w:cs="Times New Roman"/>
          <w:sz w:val="28"/>
          <w:szCs w:val="28"/>
        </w:rPr>
        <w:t>39</w:t>
      </w:r>
      <w:r w:rsidR="001466A8">
        <w:rPr>
          <w:rFonts w:ascii="Times New Roman" w:hAnsi="Times New Roman" w:cs="Times New Roman"/>
          <w:sz w:val="28"/>
          <w:szCs w:val="28"/>
        </w:rPr>
        <w:t>)</w:t>
      </w:r>
      <w:r w:rsidR="002F2061">
        <w:rPr>
          <w:rFonts w:ascii="Times New Roman" w:hAnsi="Times New Roman" w:cs="Times New Roman"/>
          <w:sz w:val="28"/>
          <w:szCs w:val="28"/>
        </w:rPr>
        <w:t xml:space="preserve"> individuava questa origine nel culto</w:t>
      </w:r>
      <w:r w:rsidR="005E60D6">
        <w:rPr>
          <w:rFonts w:ascii="Times New Roman" w:hAnsi="Times New Roman" w:cs="Times New Roman"/>
          <w:sz w:val="28"/>
          <w:szCs w:val="28"/>
        </w:rPr>
        <w:t xml:space="preserve"> </w:t>
      </w:r>
      <w:r w:rsidR="002F2061">
        <w:rPr>
          <w:rFonts w:ascii="Times New Roman" w:hAnsi="Times New Roman" w:cs="Times New Roman"/>
          <w:sz w:val="28"/>
          <w:szCs w:val="28"/>
        </w:rPr>
        <w:t>degli antenati che definì “</w:t>
      </w:r>
      <w:proofErr w:type="spellStart"/>
      <w:r w:rsidR="002F2061">
        <w:rPr>
          <w:rFonts w:ascii="Times New Roman" w:hAnsi="Times New Roman" w:cs="Times New Roman"/>
          <w:sz w:val="28"/>
          <w:szCs w:val="28"/>
        </w:rPr>
        <w:t>preanimismo</w:t>
      </w:r>
      <w:proofErr w:type="spellEnd"/>
      <w:r w:rsidR="002F2061">
        <w:rPr>
          <w:rFonts w:ascii="Times New Roman" w:hAnsi="Times New Roman" w:cs="Times New Roman"/>
          <w:sz w:val="28"/>
          <w:szCs w:val="28"/>
        </w:rPr>
        <w:t xml:space="preserve">” e del quale ritorneremo a parlare; Emile </w:t>
      </w:r>
      <w:proofErr w:type="spellStart"/>
      <w:r w:rsidR="002F2061">
        <w:rPr>
          <w:rFonts w:ascii="Times New Roman" w:hAnsi="Times New Roman" w:cs="Times New Roman"/>
          <w:sz w:val="28"/>
          <w:szCs w:val="28"/>
        </w:rPr>
        <w:t>Durkheim</w:t>
      </w:r>
      <w:proofErr w:type="spellEnd"/>
      <w:r w:rsidR="002F2061">
        <w:rPr>
          <w:rFonts w:ascii="Times New Roman" w:hAnsi="Times New Roman" w:cs="Times New Roman"/>
          <w:sz w:val="28"/>
          <w:szCs w:val="28"/>
        </w:rPr>
        <w:t xml:space="preserve"> (1858-1917) ipotizza che il sistema religioso più semplice fosse il totemismo: tesi perseguita da altri studiosi.  Sigmund Freud (1856 1939) dedicò</w:t>
      </w:r>
      <w:r w:rsidR="000C1CCF">
        <w:rPr>
          <w:rFonts w:ascii="Times New Roman" w:hAnsi="Times New Roman" w:cs="Times New Roman"/>
          <w:sz w:val="28"/>
          <w:szCs w:val="28"/>
        </w:rPr>
        <w:t xml:space="preserve"> </w:t>
      </w:r>
      <w:r w:rsidR="002F2061">
        <w:rPr>
          <w:rFonts w:ascii="Times New Roman" w:hAnsi="Times New Roman" w:cs="Times New Roman"/>
          <w:sz w:val="28"/>
          <w:szCs w:val="28"/>
        </w:rPr>
        <w:t xml:space="preserve">invece molta attenzione alla teoria del parricidio originario, dal quale si sono in seguito sviluppate ulteriori analisi. Wilhelm </w:t>
      </w:r>
      <w:proofErr w:type="spellStart"/>
      <w:r w:rsidR="002F2061">
        <w:rPr>
          <w:rFonts w:ascii="Times New Roman" w:hAnsi="Times New Roman" w:cs="Times New Roman"/>
          <w:sz w:val="28"/>
          <w:szCs w:val="28"/>
        </w:rPr>
        <w:t>Achmidt</w:t>
      </w:r>
      <w:proofErr w:type="spellEnd"/>
      <w:r w:rsidR="002F2061">
        <w:rPr>
          <w:rFonts w:ascii="Times New Roman" w:hAnsi="Times New Roman" w:cs="Times New Roman"/>
          <w:sz w:val="28"/>
          <w:szCs w:val="28"/>
        </w:rPr>
        <w:t xml:space="preserve"> (1868-1954) ebbe l’intuizione di porre alla base della religione un monoteismo atavico insito nella cultura </w:t>
      </w:r>
      <w:r w:rsidR="002F2061">
        <w:rPr>
          <w:rFonts w:ascii="Times New Roman" w:hAnsi="Times New Roman" w:cs="Times New Roman"/>
          <w:sz w:val="28"/>
          <w:szCs w:val="28"/>
        </w:rPr>
        <w:lastRenderedPageBreak/>
        <w:t xml:space="preserve">dell’uomo; per James </w:t>
      </w:r>
      <w:proofErr w:type="spellStart"/>
      <w:r w:rsidR="002F2061">
        <w:rPr>
          <w:rFonts w:ascii="Times New Roman" w:hAnsi="Times New Roman" w:cs="Times New Roman"/>
          <w:sz w:val="28"/>
          <w:szCs w:val="28"/>
        </w:rPr>
        <w:t>Frazer</w:t>
      </w:r>
      <w:proofErr w:type="spellEnd"/>
      <w:r w:rsidR="002F2061">
        <w:rPr>
          <w:rFonts w:ascii="Times New Roman" w:hAnsi="Times New Roman" w:cs="Times New Roman"/>
          <w:sz w:val="28"/>
          <w:szCs w:val="28"/>
        </w:rPr>
        <w:t xml:space="preserve"> (1845-1941) lo stadio primo della religione era invece costituito dalla magia.</w:t>
      </w:r>
    </w:p>
    <w:p w:rsidR="000379E9" w:rsidRDefault="00EE620F" w:rsidP="00A85BFB">
      <w:pPr>
        <w:spacing w:after="0" w:line="360" w:lineRule="auto"/>
        <w:ind w:left="851" w:right="142" w:firstLine="283"/>
        <w:jc w:val="both"/>
        <w:rPr>
          <w:rFonts w:ascii="Times New Roman" w:hAnsi="Times New Roman" w:cs="Times New Roman"/>
          <w:sz w:val="28"/>
          <w:szCs w:val="28"/>
        </w:rPr>
      </w:pPr>
      <w:r>
        <w:rPr>
          <w:rFonts w:ascii="Times New Roman" w:hAnsi="Times New Roman" w:cs="Times New Roman"/>
          <w:sz w:val="28"/>
          <w:szCs w:val="28"/>
        </w:rPr>
        <w:t>In genere, le teorie che governano la storia della religioni, quando accettano di porre l’animismo come stadio più arcaico e riconoscono alla tradizione culturale uno schema proprio dell’evoluzionismo, indicano come st</w:t>
      </w:r>
      <w:r w:rsidR="00D84D7B">
        <w:rPr>
          <w:rFonts w:ascii="Times New Roman" w:hAnsi="Times New Roman" w:cs="Times New Roman"/>
          <w:sz w:val="28"/>
          <w:szCs w:val="28"/>
        </w:rPr>
        <w:t>adi successivi le seguenti fasi:</w:t>
      </w:r>
      <w:r w:rsidR="00A85BFB">
        <w:rPr>
          <w:rFonts w:ascii="Times New Roman" w:hAnsi="Times New Roman" w:cs="Times New Roman"/>
          <w:sz w:val="28"/>
          <w:szCs w:val="28"/>
        </w:rPr>
        <w:t xml:space="preserve"> </w:t>
      </w:r>
      <w:r w:rsidR="00CF45B6">
        <w:rPr>
          <w:rFonts w:ascii="Times New Roman" w:hAnsi="Times New Roman" w:cs="Times New Roman"/>
          <w:sz w:val="28"/>
          <w:szCs w:val="28"/>
        </w:rPr>
        <w:t xml:space="preserve"> </w:t>
      </w:r>
      <w:r w:rsidR="00D84D7B">
        <w:rPr>
          <w:rFonts w:ascii="Times New Roman" w:hAnsi="Times New Roman" w:cs="Times New Roman"/>
          <w:sz w:val="28"/>
          <w:szCs w:val="28"/>
        </w:rPr>
        <w:t xml:space="preserve">a. </w:t>
      </w:r>
      <w:r w:rsidR="00D84D7B">
        <w:rPr>
          <w:rFonts w:ascii="Times New Roman" w:hAnsi="Times New Roman" w:cs="Times New Roman"/>
          <w:i/>
          <w:sz w:val="28"/>
          <w:szCs w:val="28"/>
        </w:rPr>
        <w:t xml:space="preserve">politeismo: </w:t>
      </w:r>
      <w:r w:rsidR="00D84D7B" w:rsidRPr="00D84D7B">
        <w:rPr>
          <w:rFonts w:ascii="Times New Roman" w:hAnsi="Times New Roman" w:cs="Times New Roman"/>
          <w:sz w:val="28"/>
          <w:szCs w:val="28"/>
        </w:rPr>
        <w:t>attribuzione</w:t>
      </w:r>
      <w:r w:rsidR="00D84D7B">
        <w:rPr>
          <w:rFonts w:ascii="Times New Roman" w:hAnsi="Times New Roman" w:cs="Times New Roman"/>
          <w:sz w:val="28"/>
          <w:szCs w:val="28"/>
        </w:rPr>
        <w:t xml:space="preserve"> di spirito a realtà naturali considerate animate e qualificate come forme divine(ad esempio il dio della pioggia) che in seguito possono subire un processo di </w:t>
      </w:r>
      <w:r w:rsidR="00317957">
        <w:rPr>
          <w:rFonts w:ascii="Times New Roman" w:hAnsi="Times New Roman" w:cs="Times New Roman"/>
          <w:sz w:val="28"/>
          <w:szCs w:val="28"/>
        </w:rPr>
        <w:t>“</w:t>
      </w:r>
      <w:r w:rsidR="00D84D7B">
        <w:rPr>
          <w:rFonts w:ascii="Times New Roman" w:hAnsi="Times New Roman" w:cs="Times New Roman"/>
          <w:sz w:val="28"/>
          <w:szCs w:val="28"/>
        </w:rPr>
        <w:t>spiritualizzazione</w:t>
      </w:r>
      <w:r w:rsidR="00317957">
        <w:rPr>
          <w:rFonts w:ascii="Times New Roman" w:hAnsi="Times New Roman" w:cs="Times New Roman"/>
          <w:sz w:val="28"/>
          <w:szCs w:val="28"/>
        </w:rPr>
        <w:t>” diretto ad antropomorfizzare eventi strettamente connessi al ciclo vitale umano.</w:t>
      </w:r>
    </w:p>
    <w:p w:rsidR="00CF45B6" w:rsidRDefault="00CF45B6" w:rsidP="00DA2DCB">
      <w:pPr>
        <w:spacing w:after="0" w:line="360" w:lineRule="auto"/>
        <w:ind w:left="851" w:right="142" w:firstLine="284"/>
        <w:jc w:val="both"/>
        <w:rPr>
          <w:rFonts w:ascii="Times New Roman" w:hAnsi="Times New Roman" w:cs="Times New Roman"/>
          <w:sz w:val="28"/>
          <w:szCs w:val="28"/>
        </w:rPr>
      </w:pPr>
    </w:p>
    <w:p w:rsidR="009C4471" w:rsidRDefault="00CF45B6" w:rsidP="009C4471">
      <w:pPr>
        <w:spacing w:after="0" w:line="360" w:lineRule="auto"/>
        <w:ind w:left="851" w:right="142" w:firstLine="284"/>
        <w:jc w:val="both"/>
        <w:rPr>
          <w:rFonts w:ascii="Times New Roman" w:hAnsi="Times New Roman" w:cs="Times New Roman"/>
          <w:sz w:val="24"/>
          <w:szCs w:val="24"/>
        </w:rPr>
      </w:pPr>
      <w:r>
        <w:rPr>
          <w:rFonts w:ascii="Times New Roman" w:hAnsi="Times New Roman" w:cs="Times New Roman"/>
          <w:sz w:val="28"/>
          <w:szCs w:val="28"/>
        </w:rPr>
        <w:t xml:space="preserve">3 . </w:t>
      </w:r>
      <w:r w:rsidR="00317957">
        <w:rPr>
          <w:rFonts w:ascii="Times New Roman" w:hAnsi="Times New Roman" w:cs="Times New Roman"/>
          <w:sz w:val="28"/>
          <w:szCs w:val="28"/>
        </w:rPr>
        <w:t xml:space="preserve">b. </w:t>
      </w:r>
      <w:r w:rsidR="00317957">
        <w:rPr>
          <w:rFonts w:ascii="Times New Roman" w:hAnsi="Times New Roman" w:cs="Times New Roman"/>
          <w:i/>
          <w:sz w:val="28"/>
          <w:szCs w:val="28"/>
        </w:rPr>
        <w:t>monoteismo:</w:t>
      </w:r>
      <w:r w:rsidR="00317957">
        <w:rPr>
          <w:rFonts w:ascii="Times New Roman" w:hAnsi="Times New Roman" w:cs="Times New Roman"/>
          <w:sz w:val="28"/>
          <w:szCs w:val="28"/>
        </w:rPr>
        <w:t xml:space="preserve"> riconoscimento a u</w:t>
      </w:r>
      <w:r w:rsidR="001F6AA9">
        <w:rPr>
          <w:rFonts w:ascii="Times New Roman" w:hAnsi="Times New Roman" w:cs="Times New Roman"/>
          <w:sz w:val="28"/>
          <w:szCs w:val="28"/>
        </w:rPr>
        <w:t xml:space="preserve">n solo dio di alcuni attributi; </w:t>
      </w:r>
      <w:r w:rsidR="00317957">
        <w:rPr>
          <w:rFonts w:ascii="Times New Roman" w:hAnsi="Times New Roman" w:cs="Times New Roman"/>
          <w:sz w:val="28"/>
          <w:szCs w:val="28"/>
        </w:rPr>
        <w:t>il processo può culminare</w:t>
      </w:r>
      <w:r w:rsidR="001F6AA9">
        <w:rPr>
          <w:rFonts w:ascii="Times New Roman" w:hAnsi="Times New Roman" w:cs="Times New Roman"/>
          <w:sz w:val="28"/>
          <w:szCs w:val="28"/>
        </w:rPr>
        <w:t xml:space="preserve"> nell’evoluzione di uno degli </w:t>
      </w:r>
      <w:proofErr w:type="spellStart"/>
      <w:r w:rsidR="001F6AA9">
        <w:rPr>
          <w:rFonts w:ascii="Times New Roman" w:hAnsi="Times New Roman" w:cs="Times New Roman"/>
          <w:sz w:val="28"/>
          <w:szCs w:val="28"/>
        </w:rPr>
        <w:t>dé</w:t>
      </w:r>
      <w:r w:rsidR="00317957">
        <w:rPr>
          <w:rFonts w:ascii="Times New Roman" w:hAnsi="Times New Roman" w:cs="Times New Roman"/>
          <w:sz w:val="28"/>
          <w:szCs w:val="28"/>
        </w:rPr>
        <w:t>i</w:t>
      </w:r>
      <w:proofErr w:type="spellEnd"/>
      <w:r w:rsidR="00317957">
        <w:rPr>
          <w:rFonts w:ascii="Times New Roman" w:hAnsi="Times New Roman" w:cs="Times New Roman"/>
          <w:sz w:val="28"/>
          <w:szCs w:val="28"/>
        </w:rPr>
        <w:t xml:space="preserve"> del </w:t>
      </w:r>
      <w:r w:rsidR="00317957">
        <w:rPr>
          <w:rFonts w:ascii="Times New Roman" w:hAnsi="Times New Roman" w:cs="Times New Roman"/>
          <w:i/>
          <w:sz w:val="28"/>
          <w:szCs w:val="28"/>
        </w:rPr>
        <w:t>pantheon</w:t>
      </w:r>
      <w:r w:rsidR="00317957">
        <w:rPr>
          <w:rFonts w:ascii="Times New Roman" w:hAnsi="Times New Roman" w:cs="Times New Roman"/>
          <w:sz w:val="28"/>
          <w:szCs w:val="28"/>
        </w:rPr>
        <w:t xml:space="preserve"> polite</w:t>
      </w:r>
      <w:r w:rsidR="001F6AA9">
        <w:rPr>
          <w:rFonts w:ascii="Times New Roman" w:hAnsi="Times New Roman" w:cs="Times New Roman"/>
          <w:sz w:val="28"/>
          <w:szCs w:val="28"/>
        </w:rPr>
        <w:t>istico o dio supremo con la con</w:t>
      </w:r>
      <w:r w:rsidR="00317957">
        <w:rPr>
          <w:rFonts w:ascii="Times New Roman" w:hAnsi="Times New Roman" w:cs="Times New Roman"/>
          <w:sz w:val="28"/>
          <w:szCs w:val="28"/>
        </w:rPr>
        <w:t>seguente definizione di una gerarchia divina.</w:t>
      </w:r>
      <w:r w:rsidR="000C1CCF">
        <w:rPr>
          <w:rFonts w:ascii="Times New Roman" w:hAnsi="Times New Roman" w:cs="Times New Roman"/>
          <w:sz w:val="28"/>
          <w:szCs w:val="28"/>
        </w:rPr>
        <w:t xml:space="preserve"> </w:t>
      </w:r>
      <w:r w:rsidR="00317957">
        <w:rPr>
          <w:rFonts w:ascii="Times New Roman" w:hAnsi="Times New Roman" w:cs="Times New Roman"/>
          <w:sz w:val="28"/>
          <w:szCs w:val="28"/>
        </w:rPr>
        <w:t xml:space="preserve">Resta il fatto che il bisogno di giungere a una definizione dell’origine del pensiero religioso non può essere disgiunto da due aspetti salienti. Il primo riguarda l’idea di un “principio” preceduto dall’idea del nulla, concetto vago, del quale non abbiamo comunque una coscienza precisa. Il secondo riguarda la coscienza di dominio sulla natura, che è strettamente connesso a quello di religione e che si specializza nei grandi monoteisti, trovando giustificazioni concrete e </w:t>
      </w:r>
      <w:r w:rsidR="006873DF">
        <w:rPr>
          <w:rFonts w:ascii="Times New Roman" w:hAnsi="Times New Roman" w:cs="Times New Roman"/>
          <w:sz w:val="28"/>
          <w:szCs w:val="28"/>
        </w:rPr>
        <w:t>oggettive all’antropocentrismo insito nella nostra cultura.</w:t>
      </w:r>
      <w:r w:rsidR="006873DF">
        <w:rPr>
          <w:rFonts w:ascii="Times New Roman" w:hAnsi="Times New Roman" w:cs="Times New Roman"/>
          <w:sz w:val="24"/>
          <w:szCs w:val="24"/>
        </w:rPr>
        <w:t xml:space="preserve"> </w:t>
      </w:r>
    </w:p>
    <w:p w:rsidR="009C4471" w:rsidRDefault="009C4471" w:rsidP="009C4471">
      <w:pPr>
        <w:spacing w:after="0" w:line="360" w:lineRule="auto"/>
        <w:ind w:left="851" w:right="142" w:firstLine="284"/>
        <w:jc w:val="both"/>
        <w:rPr>
          <w:rFonts w:ascii="Times New Roman" w:hAnsi="Times New Roman" w:cs="Times New Roman"/>
          <w:sz w:val="28"/>
          <w:szCs w:val="28"/>
        </w:rPr>
      </w:pPr>
      <w:r w:rsidRPr="009C4471">
        <w:rPr>
          <w:rFonts w:ascii="Times New Roman" w:hAnsi="Times New Roman" w:cs="Times New Roman"/>
          <w:sz w:val="28"/>
          <w:szCs w:val="28"/>
        </w:rPr>
        <w:t>All’interno della riflessione sul meccanismo che è alla base del principio indicato come animismo, è necessaria una breve riflessione sulle nozione di sacro e di profano che sono tra loro in stretto rapporto dialettico e presenti nelle diverse esperienze religiose.</w:t>
      </w:r>
      <w:r w:rsidR="00945271">
        <w:rPr>
          <w:rFonts w:ascii="Times New Roman" w:hAnsi="Times New Roman" w:cs="Times New Roman"/>
          <w:sz w:val="28"/>
          <w:szCs w:val="28"/>
        </w:rPr>
        <w:t xml:space="preserve"> Accanto alle precisazioni fornite dalla documentazione proveniente dal mondo classico, vi è quella giunta dallo studio delle culture tradizionali</w:t>
      </w:r>
      <w:r w:rsidR="00C85FA8">
        <w:rPr>
          <w:rFonts w:ascii="Times New Roman" w:hAnsi="Times New Roman" w:cs="Times New Roman"/>
          <w:sz w:val="28"/>
          <w:szCs w:val="28"/>
        </w:rPr>
        <w:t>, che ha imposto l’applicazione di strumenti concettuali solidamente entrati a far parte della cultura religiosa.</w:t>
      </w:r>
    </w:p>
    <w:p w:rsidR="00C85FA8" w:rsidRDefault="00C85FA8" w:rsidP="009C4471">
      <w:pPr>
        <w:spacing w:after="0" w:line="360" w:lineRule="auto"/>
        <w:ind w:left="851" w:right="142" w:firstLine="284"/>
        <w:jc w:val="both"/>
        <w:rPr>
          <w:rFonts w:ascii="Times New Roman" w:hAnsi="Times New Roman" w:cs="Times New Roman"/>
          <w:sz w:val="28"/>
          <w:szCs w:val="28"/>
        </w:rPr>
      </w:pPr>
    </w:p>
    <w:p w:rsidR="00C85FA8" w:rsidRDefault="00C85FA8" w:rsidP="009C4471">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4 . La presenza di una dicotomia tra sacro e profano, implica di fatto concetti di separazione tra puro e impuro, consentito e vietato, eccetera eccetera. Concettualmente il sacro costituisce quindi un valore che si contrappone di conseguenza al profano, espressione di “no valore”.</w:t>
      </w:r>
    </w:p>
    <w:p w:rsidR="00C85FA8" w:rsidRPr="009C4471" w:rsidRDefault="00C85FA8" w:rsidP="009C4471">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Il discorso è naturalmente più complesso e non si riduce a una semplice separazione tra quanto è sacro e quanto invece non corrisponde a </w:t>
      </w:r>
      <w:proofErr w:type="spellStart"/>
      <w:r>
        <w:rPr>
          <w:rFonts w:ascii="Times New Roman" w:hAnsi="Times New Roman" w:cs="Times New Roman"/>
          <w:sz w:val="28"/>
          <w:szCs w:val="28"/>
        </w:rPr>
        <w:t>uei</w:t>
      </w:r>
      <w:proofErr w:type="spellEnd"/>
      <w:r>
        <w:rPr>
          <w:rFonts w:ascii="Times New Roman" w:hAnsi="Times New Roman" w:cs="Times New Roman"/>
          <w:sz w:val="28"/>
          <w:szCs w:val="28"/>
        </w:rPr>
        <w:t xml:space="preserve"> parametri, e quindi è profano.</w:t>
      </w:r>
    </w:p>
    <w:p w:rsidR="00E96078" w:rsidRDefault="00C85FA8" w:rsidP="00CF45B6">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 xml:space="preserve">Per cercare di approfondire la riflessione, partiamo dal basilare studio di Rudolf Otto, </w:t>
      </w:r>
      <w:r>
        <w:rPr>
          <w:rFonts w:ascii="Times New Roman" w:hAnsi="Times New Roman" w:cs="Times New Roman"/>
          <w:i/>
          <w:sz w:val="28"/>
          <w:szCs w:val="28"/>
        </w:rPr>
        <w:t xml:space="preserve">Il sacro </w:t>
      </w:r>
      <w:r>
        <w:rPr>
          <w:rFonts w:ascii="Times New Roman" w:hAnsi="Times New Roman" w:cs="Times New Roman"/>
          <w:sz w:val="28"/>
          <w:szCs w:val="28"/>
        </w:rPr>
        <w:t>(1917): un testo importante in cui viene posto in rilievo che l’uomo avverte, davanti al sacro, un sentimento di terrore, q</w:t>
      </w:r>
      <w:r w:rsidR="00E96078">
        <w:rPr>
          <w:rFonts w:ascii="Times New Roman" w:hAnsi="Times New Roman" w:cs="Times New Roman"/>
          <w:sz w:val="28"/>
          <w:szCs w:val="28"/>
        </w:rPr>
        <w:t xml:space="preserve">ualcosa di schiacciante e potente privo di connotati, </w:t>
      </w:r>
      <w:r w:rsidR="003277C4">
        <w:rPr>
          <w:rFonts w:ascii="Times New Roman" w:hAnsi="Times New Roman" w:cs="Times New Roman"/>
          <w:sz w:val="28"/>
          <w:szCs w:val="28"/>
        </w:rPr>
        <w:t xml:space="preserve">verso </w:t>
      </w:r>
      <w:r w:rsidR="00E96078">
        <w:rPr>
          <w:rFonts w:ascii="Times New Roman" w:hAnsi="Times New Roman" w:cs="Times New Roman"/>
          <w:sz w:val="28"/>
          <w:szCs w:val="28"/>
        </w:rPr>
        <w:t xml:space="preserve">cui ognuno di noi avverte la propria fragilità, comprende di essere “solo cenere e polvere” </w:t>
      </w:r>
    </w:p>
    <w:p w:rsidR="006873DF" w:rsidRDefault="00E96078" w:rsidP="00CF45B6">
      <w:pPr>
        <w:spacing w:after="0" w:line="360" w:lineRule="auto"/>
        <w:ind w:left="851" w:right="142" w:firstLine="284"/>
        <w:jc w:val="both"/>
        <w:rPr>
          <w:rFonts w:ascii="Times New Roman" w:hAnsi="Times New Roman" w:cs="Times New Roman"/>
          <w:i/>
          <w:sz w:val="28"/>
          <w:szCs w:val="28"/>
        </w:rPr>
      </w:pPr>
      <w:r>
        <w:rPr>
          <w:rFonts w:ascii="Times New Roman" w:hAnsi="Times New Roman" w:cs="Times New Roman"/>
          <w:sz w:val="28"/>
          <w:szCs w:val="28"/>
        </w:rPr>
        <w:t>(</w:t>
      </w:r>
      <w:r>
        <w:rPr>
          <w:rFonts w:ascii="Times New Roman" w:hAnsi="Times New Roman" w:cs="Times New Roman"/>
          <w:i/>
          <w:sz w:val="28"/>
          <w:szCs w:val="28"/>
        </w:rPr>
        <w:t>Genesi 18,27)</w:t>
      </w:r>
    </w:p>
    <w:p w:rsidR="00E96078" w:rsidRDefault="003277C4" w:rsidP="00CF45B6">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Il</w:t>
      </w:r>
      <w:r w:rsidR="00E96078" w:rsidRPr="00E96078">
        <w:rPr>
          <w:rFonts w:ascii="Times New Roman" w:hAnsi="Times New Roman" w:cs="Times New Roman"/>
          <w:sz w:val="28"/>
          <w:szCs w:val="28"/>
        </w:rPr>
        <w:t xml:space="preserve"> sacro che ontologicamente si oppone al profano, si manifesta in vari luoghi e periodi che contrassegnano la sua esistenza. Tale esperienza è definita ierofania (dal termine greco </w:t>
      </w:r>
      <w:r w:rsidR="00E96078">
        <w:rPr>
          <w:rFonts w:ascii="Times New Roman" w:hAnsi="Times New Roman" w:cs="Times New Roman"/>
          <w:i/>
          <w:sz w:val="28"/>
          <w:szCs w:val="28"/>
        </w:rPr>
        <w:t>apparire)</w:t>
      </w:r>
      <w:r w:rsidR="00E96078">
        <w:rPr>
          <w:rFonts w:ascii="Times New Roman" w:hAnsi="Times New Roman" w:cs="Times New Roman"/>
          <w:sz w:val="28"/>
          <w:szCs w:val="28"/>
        </w:rPr>
        <w:t xml:space="preserve"> e indica tutti i casi in cui l’uomo, di qualsiasi religione, avverte la presenza di un’entità che appartiene al sacro, quindi non necessariamente di un “dio”. Questa manifestazione è sempre qualcosa di molto diverso dalla realtà oggettiva, qualcosa che non appartiene a questo mondo. Un</w:t>
      </w:r>
      <w:r w:rsidR="00200B0D">
        <w:rPr>
          <w:rFonts w:ascii="Times New Roman" w:hAnsi="Times New Roman" w:cs="Times New Roman"/>
          <w:sz w:val="28"/>
          <w:szCs w:val="28"/>
        </w:rPr>
        <w:t>a</w:t>
      </w:r>
      <w:r w:rsidR="00E96078">
        <w:rPr>
          <w:rFonts w:ascii="Times New Roman" w:hAnsi="Times New Roman" w:cs="Times New Roman"/>
          <w:sz w:val="28"/>
          <w:szCs w:val="28"/>
        </w:rPr>
        <w:t xml:space="preserve"> presenza che viene riconosciuta come sacra</w:t>
      </w:r>
      <w:r w:rsidR="00200B0D">
        <w:rPr>
          <w:rFonts w:ascii="Times New Roman" w:hAnsi="Times New Roman" w:cs="Times New Roman"/>
          <w:sz w:val="28"/>
          <w:szCs w:val="28"/>
        </w:rPr>
        <w:t xml:space="preserve"> </w:t>
      </w:r>
      <w:r w:rsidR="00E96078">
        <w:rPr>
          <w:rFonts w:ascii="Times New Roman" w:hAnsi="Times New Roman" w:cs="Times New Roman"/>
          <w:sz w:val="28"/>
          <w:szCs w:val="28"/>
        </w:rPr>
        <w:t>(sia essa una pietra, un albero, una montagna, o un oggetto qualunque): “L’uomo delle società arcaiche tende a vivere il più possibile nel sacro o nell’intimità degli oggetti consacrati. Tale tendenza è comprensibile</w:t>
      </w:r>
      <w:r w:rsidR="00512C68">
        <w:rPr>
          <w:rFonts w:ascii="Times New Roman" w:hAnsi="Times New Roman" w:cs="Times New Roman"/>
          <w:sz w:val="28"/>
          <w:szCs w:val="28"/>
        </w:rPr>
        <w:t>: per i primitivi così come per l’uomo di tutte le società premoderne, il sacro equivale a potenza e, in fin dei conti, alla realtà per eccellenza. I</w:t>
      </w:r>
      <w:r w:rsidR="00826DAE">
        <w:rPr>
          <w:rFonts w:ascii="Times New Roman" w:hAnsi="Times New Roman" w:cs="Times New Roman"/>
          <w:sz w:val="28"/>
          <w:szCs w:val="28"/>
        </w:rPr>
        <w:t>l</w:t>
      </w:r>
      <w:r w:rsidR="00512C68">
        <w:rPr>
          <w:rFonts w:ascii="Times New Roman" w:hAnsi="Times New Roman" w:cs="Times New Roman"/>
          <w:sz w:val="28"/>
          <w:szCs w:val="28"/>
        </w:rPr>
        <w:t xml:space="preserve"> sacro è saturo di essere. Potenza sacra significa realtà, perennità, ed efficacia insieme” (M. </w:t>
      </w:r>
      <w:proofErr w:type="spellStart"/>
      <w:r w:rsidR="00512C68">
        <w:rPr>
          <w:rFonts w:ascii="Times New Roman" w:hAnsi="Times New Roman" w:cs="Times New Roman"/>
          <w:sz w:val="28"/>
          <w:szCs w:val="28"/>
        </w:rPr>
        <w:t>Eliade</w:t>
      </w:r>
      <w:proofErr w:type="spellEnd"/>
      <w:r w:rsidR="00512C68">
        <w:rPr>
          <w:rFonts w:ascii="Times New Roman" w:hAnsi="Times New Roman" w:cs="Times New Roman"/>
          <w:sz w:val="28"/>
          <w:szCs w:val="28"/>
        </w:rPr>
        <w:t xml:space="preserve">, </w:t>
      </w:r>
      <w:r w:rsidR="00512C68">
        <w:rPr>
          <w:rFonts w:ascii="Times New Roman" w:hAnsi="Times New Roman" w:cs="Times New Roman"/>
          <w:i/>
          <w:sz w:val="28"/>
          <w:szCs w:val="28"/>
        </w:rPr>
        <w:t>Il sacro e il profano,</w:t>
      </w:r>
      <w:r w:rsidR="00512C68">
        <w:rPr>
          <w:rFonts w:ascii="Times New Roman" w:hAnsi="Times New Roman" w:cs="Times New Roman"/>
          <w:sz w:val="28"/>
          <w:szCs w:val="28"/>
        </w:rPr>
        <w:t xml:space="preserve"> Torino 1987, </w:t>
      </w:r>
      <w:proofErr w:type="spellStart"/>
      <w:r w:rsidR="00512C68">
        <w:rPr>
          <w:rFonts w:ascii="Times New Roman" w:hAnsi="Times New Roman" w:cs="Times New Roman"/>
          <w:sz w:val="28"/>
          <w:szCs w:val="28"/>
        </w:rPr>
        <w:t>pag</w:t>
      </w:r>
      <w:proofErr w:type="spellEnd"/>
      <w:r w:rsidR="00512C68">
        <w:rPr>
          <w:rFonts w:ascii="Times New Roman" w:hAnsi="Times New Roman" w:cs="Times New Roman"/>
          <w:sz w:val="28"/>
          <w:szCs w:val="28"/>
        </w:rPr>
        <w:t xml:space="preserve"> 15)</w:t>
      </w:r>
    </w:p>
    <w:p w:rsidR="00512C68" w:rsidRDefault="00512C68" w:rsidP="00CF45B6">
      <w:pPr>
        <w:spacing w:after="0" w:line="360" w:lineRule="auto"/>
        <w:ind w:left="851" w:right="142" w:firstLine="284"/>
        <w:jc w:val="both"/>
        <w:rPr>
          <w:rFonts w:ascii="Times New Roman" w:hAnsi="Times New Roman" w:cs="Times New Roman"/>
          <w:sz w:val="28"/>
          <w:szCs w:val="28"/>
        </w:rPr>
      </w:pPr>
    </w:p>
    <w:p w:rsidR="00342277" w:rsidRDefault="00512C68" w:rsidP="00E67CAD">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 xml:space="preserve">5 . </w:t>
      </w:r>
      <w:r w:rsidR="002711B2">
        <w:rPr>
          <w:rFonts w:ascii="Times New Roman" w:hAnsi="Times New Roman" w:cs="Times New Roman"/>
          <w:sz w:val="28"/>
          <w:szCs w:val="28"/>
        </w:rPr>
        <w:t>Per l’uomo che è capace di avvertire il sacro all’interno della sua esperienza vitale</w:t>
      </w:r>
      <w:r w:rsidR="00342277">
        <w:rPr>
          <w:rFonts w:ascii="Times New Roman" w:hAnsi="Times New Roman" w:cs="Times New Roman"/>
          <w:sz w:val="28"/>
          <w:szCs w:val="28"/>
        </w:rPr>
        <w:t xml:space="preserve"> </w:t>
      </w:r>
      <w:r w:rsidR="002711B2">
        <w:rPr>
          <w:rFonts w:ascii="Times New Roman" w:hAnsi="Times New Roman" w:cs="Times New Roman"/>
          <w:sz w:val="28"/>
          <w:szCs w:val="28"/>
        </w:rPr>
        <w:t>(ierofania),</w:t>
      </w:r>
      <w:r w:rsidR="00E67CAD" w:rsidRPr="00E67CAD">
        <w:rPr>
          <w:rFonts w:ascii="Times New Roman" w:hAnsi="Times New Roman" w:cs="Times New Roman"/>
          <w:sz w:val="28"/>
          <w:szCs w:val="28"/>
        </w:rPr>
        <w:t xml:space="preserve"> </w:t>
      </w:r>
      <w:r w:rsidR="00E67CAD">
        <w:rPr>
          <w:rFonts w:ascii="Times New Roman" w:hAnsi="Times New Roman" w:cs="Times New Roman"/>
          <w:sz w:val="28"/>
          <w:szCs w:val="28"/>
        </w:rPr>
        <w:t xml:space="preserve">la natura non è solo “naturale”, ma è colma di sacralità. </w:t>
      </w:r>
      <w:r w:rsidR="002711B2">
        <w:rPr>
          <w:rFonts w:ascii="Times New Roman" w:hAnsi="Times New Roman" w:cs="Times New Roman"/>
          <w:sz w:val="28"/>
          <w:szCs w:val="28"/>
        </w:rPr>
        <w:t>Tale atteggiamento nasce dalla consapevolezza che la realtà non è mai così come appare, ma intrisa di presenze soprannaturali.</w:t>
      </w:r>
      <w:r w:rsidR="00E67CAD" w:rsidRPr="00E67CAD">
        <w:rPr>
          <w:rFonts w:ascii="Times New Roman" w:hAnsi="Times New Roman" w:cs="Times New Roman"/>
          <w:sz w:val="28"/>
          <w:szCs w:val="28"/>
        </w:rPr>
        <w:t xml:space="preserve"> </w:t>
      </w:r>
    </w:p>
    <w:p w:rsidR="00512C68" w:rsidRDefault="00E67CAD" w:rsidP="00E67CAD">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 xml:space="preserve">Per </w:t>
      </w:r>
      <w:proofErr w:type="spellStart"/>
      <w:r>
        <w:rPr>
          <w:rFonts w:ascii="Times New Roman" w:hAnsi="Times New Roman" w:cs="Times New Roman"/>
          <w:sz w:val="28"/>
          <w:szCs w:val="28"/>
        </w:rPr>
        <w:t>Eliade</w:t>
      </w:r>
      <w:proofErr w:type="spellEnd"/>
      <w:r>
        <w:rPr>
          <w:rFonts w:ascii="Times New Roman" w:hAnsi="Times New Roman" w:cs="Times New Roman"/>
          <w:sz w:val="28"/>
          <w:szCs w:val="28"/>
        </w:rPr>
        <w:t>, “qualu</w:t>
      </w:r>
      <w:r w:rsidR="00342277">
        <w:rPr>
          <w:rFonts w:ascii="Times New Roman" w:hAnsi="Times New Roman" w:cs="Times New Roman"/>
          <w:sz w:val="28"/>
          <w:szCs w:val="28"/>
        </w:rPr>
        <w:t>n</w:t>
      </w:r>
      <w:r>
        <w:rPr>
          <w:rFonts w:ascii="Times New Roman" w:hAnsi="Times New Roman" w:cs="Times New Roman"/>
          <w:sz w:val="28"/>
          <w:szCs w:val="28"/>
        </w:rPr>
        <w:t>que sia il contesto storico nel quale è immerso,</w:t>
      </w:r>
      <w:r>
        <w:rPr>
          <w:rFonts w:ascii="Times New Roman" w:hAnsi="Times New Roman" w:cs="Times New Roman"/>
          <w:i/>
          <w:sz w:val="28"/>
          <w:szCs w:val="28"/>
        </w:rPr>
        <w:t xml:space="preserve"> l’homo </w:t>
      </w:r>
      <w:proofErr w:type="spellStart"/>
      <w:r>
        <w:rPr>
          <w:rFonts w:ascii="Times New Roman" w:hAnsi="Times New Roman" w:cs="Times New Roman"/>
          <w:i/>
          <w:sz w:val="28"/>
          <w:szCs w:val="28"/>
        </w:rPr>
        <w:t>religiosus</w:t>
      </w:r>
      <w:proofErr w:type="spellEnd"/>
      <w:r>
        <w:rPr>
          <w:rFonts w:ascii="Times New Roman" w:hAnsi="Times New Roman" w:cs="Times New Roman"/>
          <w:i/>
          <w:sz w:val="28"/>
          <w:szCs w:val="28"/>
        </w:rPr>
        <w:t xml:space="preserve">, </w:t>
      </w:r>
      <w:r w:rsidRPr="00342277">
        <w:rPr>
          <w:rFonts w:ascii="Times New Roman" w:hAnsi="Times New Roman" w:cs="Times New Roman"/>
          <w:sz w:val="28"/>
          <w:szCs w:val="28"/>
        </w:rPr>
        <w:t>cre</w:t>
      </w:r>
      <w:r w:rsidR="00342277">
        <w:rPr>
          <w:rFonts w:ascii="Times New Roman" w:hAnsi="Times New Roman" w:cs="Times New Roman"/>
          <w:sz w:val="28"/>
          <w:szCs w:val="28"/>
        </w:rPr>
        <w:t xml:space="preserve">de sempre che esista una realtà assoluta, il sacro, che trascende questo mondo, in questo modo si manifesta e perciò stesso lo santifica e lo rende reale. Crede nell’origine sacra della vita e nel fatto che l’esistenza umana attualizza tutta la sua potenzialità in proporzione alla sua religiosità, cioè partecipa alla realtà” (M. </w:t>
      </w:r>
      <w:proofErr w:type="spellStart"/>
      <w:r w:rsidR="00342277">
        <w:rPr>
          <w:rFonts w:ascii="Times New Roman" w:hAnsi="Times New Roman" w:cs="Times New Roman"/>
          <w:sz w:val="28"/>
          <w:szCs w:val="28"/>
        </w:rPr>
        <w:t>Eliade</w:t>
      </w:r>
      <w:proofErr w:type="spellEnd"/>
      <w:r w:rsidR="00342277">
        <w:rPr>
          <w:rFonts w:ascii="Times New Roman" w:hAnsi="Times New Roman" w:cs="Times New Roman"/>
          <w:sz w:val="28"/>
          <w:szCs w:val="28"/>
        </w:rPr>
        <w:t>, 1987, pag. 128)</w:t>
      </w:r>
    </w:p>
    <w:p w:rsidR="00342277" w:rsidRDefault="00342277" w:rsidP="00E67CAD">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lastRenderedPageBreak/>
        <w:t>Va inoltre considerato che la mentalità</w:t>
      </w:r>
      <w:r w:rsidR="00937A51">
        <w:rPr>
          <w:rFonts w:ascii="Times New Roman" w:hAnsi="Times New Roman" w:cs="Times New Roman"/>
          <w:sz w:val="28"/>
          <w:szCs w:val="28"/>
        </w:rPr>
        <w:t xml:space="preserve"> primitiva è essenzialmente mis</w:t>
      </w:r>
      <w:r>
        <w:rPr>
          <w:rFonts w:ascii="Times New Roman" w:hAnsi="Times New Roman" w:cs="Times New Roman"/>
          <w:sz w:val="28"/>
          <w:szCs w:val="28"/>
        </w:rPr>
        <w:t>tica</w:t>
      </w:r>
      <w:r w:rsidR="00D50269">
        <w:rPr>
          <w:rFonts w:ascii="Times New Roman" w:hAnsi="Times New Roman" w:cs="Times New Roman"/>
          <w:sz w:val="28"/>
          <w:szCs w:val="28"/>
        </w:rPr>
        <w:t xml:space="preserve">, come sottolinea </w:t>
      </w:r>
      <w:proofErr w:type="spellStart"/>
      <w:r w:rsidR="00D50269">
        <w:rPr>
          <w:rFonts w:ascii="Times New Roman" w:hAnsi="Times New Roman" w:cs="Times New Roman"/>
          <w:sz w:val="28"/>
          <w:szCs w:val="28"/>
        </w:rPr>
        <w:t>L.Levy-Bruhl</w:t>
      </w:r>
      <w:proofErr w:type="spellEnd"/>
      <w:r w:rsidR="00D50269">
        <w:rPr>
          <w:rFonts w:ascii="Times New Roman" w:hAnsi="Times New Roman" w:cs="Times New Roman"/>
          <w:sz w:val="28"/>
          <w:szCs w:val="28"/>
        </w:rPr>
        <w:t xml:space="preserve"> (1857-1939): nelle culture altre quindi il sacro si esprime con maggiore nitidezza, il mondo visibile e quello invisibile costituiscono un’unica realtà e gli avvenimenti del mondo visibile dipendono, in ogni istante, dalla potenza del mondo invisibile.</w:t>
      </w:r>
    </w:p>
    <w:p w:rsidR="00D50269" w:rsidRPr="00342277" w:rsidRDefault="00D50269" w:rsidP="00E67CAD">
      <w:pPr>
        <w:spacing w:after="0" w:line="360" w:lineRule="auto"/>
        <w:ind w:left="851" w:right="142" w:firstLine="284"/>
        <w:jc w:val="both"/>
        <w:rPr>
          <w:rFonts w:ascii="Times New Roman" w:hAnsi="Times New Roman" w:cs="Times New Roman"/>
          <w:sz w:val="28"/>
          <w:szCs w:val="28"/>
        </w:rPr>
      </w:pPr>
      <w:r>
        <w:rPr>
          <w:rFonts w:ascii="Times New Roman" w:hAnsi="Times New Roman" w:cs="Times New Roman"/>
          <w:sz w:val="28"/>
          <w:szCs w:val="28"/>
        </w:rPr>
        <w:t xml:space="preserve">In questo contesto la tendenza dell’animismo si afferma soprattutto in ragione del fatto che la mentalità primitiva ha un carattere </w:t>
      </w:r>
      <w:proofErr w:type="spellStart"/>
      <w:r>
        <w:rPr>
          <w:rFonts w:ascii="Times New Roman" w:hAnsi="Times New Roman" w:cs="Times New Roman"/>
          <w:sz w:val="28"/>
          <w:szCs w:val="28"/>
        </w:rPr>
        <w:t>pre</w:t>
      </w:r>
      <w:proofErr w:type="spellEnd"/>
      <w:r>
        <w:rPr>
          <w:rFonts w:ascii="Times New Roman" w:hAnsi="Times New Roman" w:cs="Times New Roman"/>
          <w:sz w:val="28"/>
          <w:szCs w:val="28"/>
        </w:rPr>
        <w:t>-logico, termine con il quale Levy-</w:t>
      </w:r>
      <w:proofErr w:type="spellStart"/>
      <w:r>
        <w:rPr>
          <w:rFonts w:ascii="Times New Roman" w:hAnsi="Times New Roman" w:cs="Times New Roman"/>
          <w:sz w:val="28"/>
          <w:szCs w:val="28"/>
        </w:rPr>
        <w:t>Bruhl</w:t>
      </w:r>
      <w:proofErr w:type="spellEnd"/>
      <w:r>
        <w:rPr>
          <w:rFonts w:ascii="Times New Roman" w:hAnsi="Times New Roman" w:cs="Times New Roman"/>
          <w:sz w:val="28"/>
          <w:szCs w:val="28"/>
        </w:rPr>
        <w:t xml:space="preserve"> indicava l’attitudine “propria delle strutture primitive”; tale atteggiamento mentale va considerato un modo di implicare tutti gli oggetti e gli esseri che vengono nell’oriz</w:t>
      </w:r>
      <w:r w:rsidR="00937A51">
        <w:rPr>
          <w:rFonts w:ascii="Times New Roman" w:hAnsi="Times New Roman" w:cs="Times New Roman"/>
          <w:sz w:val="28"/>
          <w:szCs w:val="28"/>
        </w:rPr>
        <w:t>z</w:t>
      </w:r>
      <w:r>
        <w:rPr>
          <w:rFonts w:ascii="Times New Roman" w:hAnsi="Times New Roman" w:cs="Times New Roman"/>
          <w:sz w:val="28"/>
          <w:szCs w:val="28"/>
        </w:rPr>
        <w:t>onte di esperienze in cui gioca un ruolo di primo piano non più l’el</w:t>
      </w:r>
      <w:r w:rsidR="00937A51">
        <w:rPr>
          <w:rFonts w:ascii="Times New Roman" w:hAnsi="Times New Roman" w:cs="Times New Roman"/>
          <w:sz w:val="28"/>
          <w:szCs w:val="28"/>
        </w:rPr>
        <w:t>e</w:t>
      </w:r>
      <w:r>
        <w:rPr>
          <w:rFonts w:ascii="Times New Roman" w:hAnsi="Times New Roman" w:cs="Times New Roman"/>
          <w:sz w:val="28"/>
          <w:szCs w:val="28"/>
        </w:rPr>
        <w:t>m</w:t>
      </w:r>
      <w:r w:rsidR="00937A51">
        <w:rPr>
          <w:rFonts w:ascii="Times New Roman" w:hAnsi="Times New Roman" w:cs="Times New Roman"/>
          <w:sz w:val="28"/>
          <w:szCs w:val="28"/>
        </w:rPr>
        <w:t>en</w:t>
      </w:r>
      <w:r>
        <w:rPr>
          <w:rFonts w:ascii="Times New Roman" w:hAnsi="Times New Roman" w:cs="Times New Roman"/>
          <w:sz w:val="28"/>
          <w:szCs w:val="28"/>
        </w:rPr>
        <w:t>to conoscitivo, ma quello emozionale.</w:t>
      </w:r>
    </w:p>
    <w:p w:rsidR="00512C68" w:rsidRPr="00512C68" w:rsidRDefault="00512C68" w:rsidP="00512C68">
      <w:pPr>
        <w:spacing w:after="0" w:line="360" w:lineRule="auto"/>
        <w:ind w:right="142"/>
        <w:jc w:val="both"/>
        <w:rPr>
          <w:rFonts w:ascii="Times New Roman" w:hAnsi="Times New Roman" w:cs="Times New Roman"/>
          <w:sz w:val="28"/>
          <w:szCs w:val="28"/>
        </w:rPr>
      </w:pPr>
    </w:p>
    <w:sectPr w:rsidR="00512C68" w:rsidRPr="00512C68" w:rsidSect="003A47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EC8"/>
    <w:rsid w:val="000379E9"/>
    <w:rsid w:val="000C1CCF"/>
    <w:rsid w:val="001466A8"/>
    <w:rsid w:val="001A2B69"/>
    <w:rsid w:val="001A5A92"/>
    <w:rsid w:val="001F6AA9"/>
    <w:rsid w:val="00200B0D"/>
    <w:rsid w:val="00266EC8"/>
    <w:rsid w:val="002711B2"/>
    <w:rsid w:val="002F2061"/>
    <w:rsid w:val="00305831"/>
    <w:rsid w:val="00317957"/>
    <w:rsid w:val="003277C4"/>
    <w:rsid w:val="00342277"/>
    <w:rsid w:val="00350219"/>
    <w:rsid w:val="003A477E"/>
    <w:rsid w:val="004010A5"/>
    <w:rsid w:val="00512C68"/>
    <w:rsid w:val="005A2C2C"/>
    <w:rsid w:val="005E60D6"/>
    <w:rsid w:val="00616D4B"/>
    <w:rsid w:val="00636210"/>
    <w:rsid w:val="006774FA"/>
    <w:rsid w:val="006873DF"/>
    <w:rsid w:val="008202CC"/>
    <w:rsid w:val="00826DAE"/>
    <w:rsid w:val="0086317C"/>
    <w:rsid w:val="00870528"/>
    <w:rsid w:val="008939DE"/>
    <w:rsid w:val="008B57DE"/>
    <w:rsid w:val="00937A51"/>
    <w:rsid w:val="00945271"/>
    <w:rsid w:val="00975DF1"/>
    <w:rsid w:val="0099705F"/>
    <w:rsid w:val="009C4471"/>
    <w:rsid w:val="00A85BFB"/>
    <w:rsid w:val="00BB25CB"/>
    <w:rsid w:val="00C22C85"/>
    <w:rsid w:val="00C62336"/>
    <w:rsid w:val="00C85FA8"/>
    <w:rsid w:val="00CF45B6"/>
    <w:rsid w:val="00D06803"/>
    <w:rsid w:val="00D44D55"/>
    <w:rsid w:val="00D50269"/>
    <w:rsid w:val="00D84D7B"/>
    <w:rsid w:val="00DA2DCB"/>
    <w:rsid w:val="00E300A4"/>
    <w:rsid w:val="00E44FBA"/>
    <w:rsid w:val="00E67CAD"/>
    <w:rsid w:val="00E948AA"/>
    <w:rsid w:val="00E96078"/>
    <w:rsid w:val="00EA7CCA"/>
    <w:rsid w:val="00ED4B06"/>
    <w:rsid w:val="00EE620F"/>
    <w:rsid w:val="00F70C68"/>
    <w:rsid w:val="00FB0285"/>
    <w:rsid w:val="00FC5B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8102"/>
  <w15:chartTrackingRefBased/>
  <w15:docId w15:val="{66754DBD-B778-498E-86CF-ECEB0EA5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B0285"/>
    <w:pPr>
      <w:spacing w:line="256" w:lineRule="auto"/>
    </w:pPr>
  </w:style>
  <w:style w:type="paragraph" w:styleId="Titolo1">
    <w:name w:val="heading 1"/>
    <w:basedOn w:val="Normale"/>
    <w:next w:val="Normale"/>
    <w:link w:val="Titolo1Carattere"/>
    <w:uiPriority w:val="9"/>
    <w:qFormat/>
    <w:rsid w:val="00FB0285"/>
    <w:pPr>
      <w:keepNext/>
      <w:keepLines/>
      <w:spacing w:before="240" w:after="0" w:line="240" w:lineRule="auto"/>
      <w:ind w:firstLine="284"/>
      <w:jc w:val="both"/>
      <w:outlineLvl w:val="0"/>
    </w:pPr>
    <w:rPr>
      <w:rFonts w:asciiTheme="majorHAnsi" w:eastAsiaTheme="majorEastAsia" w:hAnsiTheme="majorHAnsi" w:cstheme="majorBidi"/>
      <w:color w:val="2E74B5" w:themeColor="accent1" w:themeShade="BF"/>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0285"/>
    <w:rPr>
      <w:rFonts w:asciiTheme="majorHAnsi" w:eastAsiaTheme="majorEastAsia" w:hAnsiTheme="majorHAnsi" w:cstheme="majorBidi"/>
      <w:color w:val="2E74B5" w:themeColor="accent1" w:themeShade="BF"/>
      <w:sz w:val="32"/>
      <w:szCs w:val="32"/>
      <w:lang w:eastAsia="it-IT"/>
    </w:rPr>
  </w:style>
  <w:style w:type="paragraph" w:styleId="Testofumetto">
    <w:name w:val="Balloon Text"/>
    <w:basedOn w:val="Normale"/>
    <w:link w:val="TestofumettoCarattere"/>
    <w:uiPriority w:val="99"/>
    <w:semiHidden/>
    <w:unhideWhenUsed/>
    <w:rsid w:val="00D0680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068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6305</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admin</cp:lastModifiedBy>
  <cp:revision>2</cp:revision>
  <cp:lastPrinted>2026-10-20T06:59:00Z</cp:lastPrinted>
  <dcterms:created xsi:type="dcterms:W3CDTF">2026-10-20T07:16:00Z</dcterms:created>
  <dcterms:modified xsi:type="dcterms:W3CDTF">2026-10-20T07:16:00Z</dcterms:modified>
</cp:coreProperties>
</file>