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5C72" w:rsidRPr="00C45C72" w:rsidRDefault="00C45C72" w:rsidP="00C45C72">
      <w:pPr>
        <w:pStyle w:val="Titolo1"/>
        <w:tabs>
          <w:tab w:val="left" w:pos="8930"/>
        </w:tabs>
        <w:spacing w:before="0" w:line="360" w:lineRule="auto"/>
        <w:ind w:left="851" w:right="991" w:firstLine="283"/>
        <w:jc w:val="right"/>
        <w:rPr>
          <w:rFonts w:ascii="Times New Roman" w:hAnsi="Times New Roman" w:cs="Times New Roman"/>
          <w:b/>
          <w:color w:val="auto"/>
          <w:sz w:val="40"/>
          <w:szCs w:val="24"/>
        </w:rPr>
      </w:pPr>
      <w:bookmarkStart w:id="0" w:name="_GoBack"/>
      <w:r w:rsidRPr="00C45C72">
        <w:rPr>
          <w:rFonts w:ascii="Times New Roman" w:hAnsi="Times New Roman" w:cs="Times New Roman"/>
          <w:b/>
          <w:color w:val="auto"/>
          <w:sz w:val="44"/>
          <w:szCs w:val="28"/>
        </w:rPr>
        <w:t>ANIMISMO</w:t>
      </w:r>
      <w:r w:rsidRPr="00C45C72">
        <w:rPr>
          <w:rFonts w:ascii="Times New Roman" w:hAnsi="Times New Roman" w:cs="Times New Roman"/>
          <w:b/>
          <w:color w:val="auto"/>
          <w:sz w:val="44"/>
          <w:szCs w:val="28"/>
        </w:rPr>
        <w:t xml:space="preserve"> 4</w:t>
      </w:r>
    </w:p>
    <w:bookmarkEnd w:id="0"/>
    <w:p w:rsidR="00D6031C" w:rsidRDefault="00D6031C" w:rsidP="00E30810">
      <w:pPr>
        <w:pStyle w:val="Titolo1"/>
        <w:tabs>
          <w:tab w:val="left" w:pos="8930"/>
        </w:tabs>
        <w:spacing w:before="0" w:line="360" w:lineRule="auto"/>
        <w:ind w:left="851" w:right="991" w:firstLine="283"/>
        <w:jc w:val="center"/>
        <w:rPr>
          <w:rFonts w:ascii="Times New Roman" w:hAnsi="Times New Roman" w:cs="Times New Roman"/>
          <w:b/>
          <w:color w:val="auto"/>
          <w:sz w:val="24"/>
          <w:szCs w:val="24"/>
        </w:rPr>
      </w:pPr>
      <w:r>
        <w:rPr>
          <w:rFonts w:ascii="Times New Roman" w:hAnsi="Times New Roman" w:cs="Times New Roman"/>
          <w:b/>
          <w:color w:val="auto"/>
          <w:sz w:val="24"/>
          <w:szCs w:val="24"/>
        </w:rPr>
        <w:t>STORIA DELLE RELIGIONI COMPARATE</w:t>
      </w:r>
    </w:p>
    <w:p w:rsidR="00D6031C" w:rsidRDefault="00D6031C" w:rsidP="00E30810">
      <w:pPr>
        <w:pStyle w:val="Titolo1"/>
        <w:tabs>
          <w:tab w:val="left" w:pos="8930"/>
        </w:tabs>
        <w:spacing w:before="0"/>
        <w:ind w:left="2964" w:right="66" w:firstLine="0"/>
        <w:jc w:val="left"/>
        <w:rPr>
          <w:rFonts w:ascii="Times New Roman" w:hAnsi="Times New Roman" w:cs="Times New Roman"/>
          <w:b/>
          <w:color w:val="auto"/>
          <w:sz w:val="24"/>
          <w:szCs w:val="24"/>
        </w:rPr>
      </w:pPr>
      <w:r>
        <w:rPr>
          <w:rFonts w:ascii="Times New Roman" w:hAnsi="Times New Roman" w:cs="Times New Roman"/>
          <w:b/>
          <w:color w:val="auto"/>
          <w:sz w:val="24"/>
          <w:szCs w:val="24"/>
        </w:rPr>
        <w:t>ANNO ACCADEMICO 2026-2027</w:t>
      </w:r>
    </w:p>
    <w:p w:rsidR="00D6031C" w:rsidRDefault="00D6031C" w:rsidP="00E30810">
      <w:pPr>
        <w:tabs>
          <w:tab w:val="left" w:pos="8930"/>
        </w:tabs>
      </w:pPr>
    </w:p>
    <w:p w:rsidR="00D6031C" w:rsidRDefault="00D6031C" w:rsidP="00E30810">
      <w:pPr>
        <w:tabs>
          <w:tab w:val="left" w:pos="0"/>
          <w:tab w:val="left" w:pos="8930"/>
        </w:tabs>
        <w:spacing w:line="360" w:lineRule="auto"/>
        <w:jc w:val="center"/>
        <w:rPr>
          <w:rFonts w:ascii="Times New Roman" w:hAnsi="Times New Roman" w:cs="Times New Roman"/>
          <w:b/>
          <w:sz w:val="28"/>
          <w:szCs w:val="28"/>
        </w:rPr>
      </w:pPr>
      <w:r>
        <w:rPr>
          <w:rFonts w:ascii="Times New Roman" w:hAnsi="Times New Roman" w:cs="Times New Roman"/>
          <w:b/>
          <w:sz w:val="28"/>
          <w:szCs w:val="28"/>
        </w:rPr>
        <w:t>ANIMISMO</w:t>
      </w:r>
    </w:p>
    <w:p w:rsidR="00D6031C" w:rsidRDefault="00D6031C" w:rsidP="00E30810">
      <w:pPr>
        <w:tabs>
          <w:tab w:val="left" w:pos="8930"/>
        </w:tabs>
        <w:spacing w:line="360" w:lineRule="auto"/>
        <w:ind w:left="851" w:right="849" w:firstLine="283"/>
        <w:jc w:val="center"/>
        <w:rPr>
          <w:rFonts w:ascii="Times New Roman" w:hAnsi="Times New Roman" w:cs="Times New Roman"/>
          <w:b/>
          <w:sz w:val="28"/>
          <w:szCs w:val="28"/>
        </w:rPr>
      </w:pPr>
      <w:r>
        <w:rPr>
          <w:rFonts w:ascii="Times New Roman" w:hAnsi="Times New Roman" w:cs="Times New Roman"/>
          <w:b/>
          <w:sz w:val="28"/>
          <w:szCs w:val="28"/>
        </w:rPr>
        <w:t>Lezione 4</w:t>
      </w:r>
    </w:p>
    <w:p w:rsidR="00173AB8" w:rsidRDefault="00B509A1" w:rsidP="00E30810">
      <w:pPr>
        <w:tabs>
          <w:tab w:val="left" w:pos="8930"/>
        </w:tabs>
        <w:spacing w:line="360" w:lineRule="auto"/>
        <w:ind w:left="851" w:right="849" w:firstLine="283"/>
        <w:jc w:val="center"/>
        <w:rPr>
          <w:rFonts w:ascii="Times New Roman" w:hAnsi="Times New Roman" w:cs="Times New Roman"/>
          <w:b/>
          <w:sz w:val="28"/>
          <w:szCs w:val="28"/>
        </w:rPr>
      </w:pPr>
      <w:r>
        <w:rPr>
          <w:rFonts w:ascii="Times New Roman" w:hAnsi="Times New Roman" w:cs="Times New Roman"/>
          <w:b/>
          <w:sz w:val="28"/>
          <w:szCs w:val="28"/>
        </w:rPr>
        <w:t>3</w:t>
      </w:r>
      <w:r w:rsidR="00173AB8">
        <w:rPr>
          <w:rFonts w:ascii="Times New Roman" w:hAnsi="Times New Roman" w:cs="Times New Roman"/>
          <w:b/>
          <w:sz w:val="28"/>
          <w:szCs w:val="28"/>
        </w:rPr>
        <w:t xml:space="preserve"> novembre 2026</w:t>
      </w:r>
    </w:p>
    <w:p w:rsidR="00F74842" w:rsidRDefault="00F74842" w:rsidP="00281D52">
      <w:pPr>
        <w:spacing w:after="0" w:line="360" w:lineRule="auto"/>
        <w:ind w:left="851" w:right="851" w:firstLine="284"/>
        <w:jc w:val="both"/>
        <w:rPr>
          <w:rFonts w:ascii="Times New Roman" w:hAnsi="Times New Roman" w:cs="Times New Roman"/>
          <w:sz w:val="24"/>
          <w:szCs w:val="24"/>
        </w:rPr>
      </w:pPr>
      <w:r w:rsidRPr="00E84E6F">
        <w:rPr>
          <w:rFonts w:ascii="Times New Roman" w:hAnsi="Times New Roman" w:cs="Times New Roman"/>
          <w:sz w:val="24"/>
          <w:szCs w:val="24"/>
        </w:rPr>
        <w:t xml:space="preserve">1 . Dai primi studi condotti da R </w:t>
      </w:r>
      <w:proofErr w:type="spellStart"/>
      <w:r w:rsidRPr="00E84E6F">
        <w:rPr>
          <w:rFonts w:ascii="Times New Roman" w:hAnsi="Times New Roman" w:cs="Times New Roman"/>
          <w:sz w:val="24"/>
          <w:szCs w:val="24"/>
        </w:rPr>
        <w:t>Codrington</w:t>
      </w:r>
      <w:proofErr w:type="spellEnd"/>
      <w:r w:rsidRPr="00E84E6F">
        <w:rPr>
          <w:rFonts w:ascii="Times New Roman" w:hAnsi="Times New Roman" w:cs="Times New Roman"/>
          <w:sz w:val="24"/>
          <w:szCs w:val="24"/>
        </w:rPr>
        <w:t xml:space="preserve"> (189) tra i melanesiani, apprendiamo, ad esempio, che il successo in battaglia di un guerriero non dipendeva dalle sue virtù o capacità</w:t>
      </w:r>
      <w:r w:rsidR="007272E0" w:rsidRPr="00E84E6F">
        <w:rPr>
          <w:rFonts w:ascii="Times New Roman" w:hAnsi="Times New Roman" w:cs="Times New Roman"/>
          <w:sz w:val="24"/>
          <w:szCs w:val="24"/>
        </w:rPr>
        <w:t>, ma dalla sua abilità ad aver acquisito il mana di un guerriero defunto e contenuto in un oggetto appartenuto a quel combattente e adesso in suo possesso.</w:t>
      </w:r>
    </w:p>
    <w:p w:rsidR="00281D52" w:rsidRDefault="00281D52" w:rsidP="00281D52">
      <w:pPr>
        <w:spacing w:after="0" w:line="360" w:lineRule="auto"/>
        <w:ind w:left="851" w:right="851" w:firstLine="284"/>
        <w:jc w:val="both"/>
        <w:rPr>
          <w:rFonts w:ascii="Times New Roman" w:hAnsi="Times New Roman" w:cs="Times New Roman"/>
          <w:sz w:val="24"/>
          <w:szCs w:val="24"/>
        </w:rPr>
      </w:pPr>
      <w:r>
        <w:rPr>
          <w:rFonts w:ascii="Times New Roman" w:hAnsi="Times New Roman" w:cs="Times New Roman"/>
          <w:sz w:val="24"/>
          <w:szCs w:val="24"/>
        </w:rPr>
        <w:t>Nella società melanesiana il mana diventa quindi lo strumento per dare una spiegazione a ogni fatto, avvenimento o situazione che sembra esulare dalle regole dell’ordinario, divenendo pertanto patrimonio di un’esperienza eccezionale.</w:t>
      </w:r>
    </w:p>
    <w:p w:rsidR="00DF7B8E" w:rsidRDefault="00AE3DAC" w:rsidP="00AE3DAC">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 xml:space="preserve">“Il mana può essere, inoltre, trasmesso, accumulato, ereditato, acquistato per caso, acquistato in forma contrattuale con scambio di animali o di oggetti. Può anche ritirarsi o venir meno in conseguenza di una situazione soprannaturale che colpisce un comportamento non rituale o non etico. </w:t>
      </w:r>
    </w:p>
    <w:p w:rsidR="00AE3DAC" w:rsidRDefault="00AE3DAC" w:rsidP="00AE3DAC">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Può essere infine contenuto in formule magiche</w:t>
      </w:r>
      <w:r w:rsidR="00DF7B8E">
        <w:rPr>
          <w:rFonts w:ascii="Times New Roman" w:hAnsi="Times New Roman" w:cs="Times New Roman"/>
          <w:sz w:val="24"/>
          <w:szCs w:val="24"/>
        </w:rPr>
        <w:t xml:space="preserve"> che sono segretamente conservate, poiché la loro divulgazione determinerebbe l’annullamento della carica di mana” (</w:t>
      </w:r>
      <w:proofErr w:type="spellStart"/>
      <w:r w:rsidR="00DF7B8E">
        <w:rPr>
          <w:rFonts w:ascii="Times New Roman" w:hAnsi="Times New Roman" w:cs="Times New Roman"/>
          <w:sz w:val="24"/>
          <w:szCs w:val="24"/>
        </w:rPr>
        <w:t>J.Guiart</w:t>
      </w:r>
      <w:proofErr w:type="spellEnd"/>
      <w:r w:rsidR="00DF7B8E">
        <w:rPr>
          <w:rFonts w:ascii="Times New Roman" w:hAnsi="Times New Roman" w:cs="Times New Roman"/>
          <w:sz w:val="24"/>
          <w:szCs w:val="24"/>
        </w:rPr>
        <w:t xml:space="preserve">, 1956, </w:t>
      </w:r>
      <w:proofErr w:type="spellStart"/>
      <w:r w:rsidR="00DF7B8E">
        <w:rPr>
          <w:rFonts w:ascii="Times New Roman" w:hAnsi="Times New Roman" w:cs="Times New Roman"/>
          <w:sz w:val="24"/>
          <w:szCs w:val="24"/>
        </w:rPr>
        <w:t>pag</w:t>
      </w:r>
      <w:proofErr w:type="spellEnd"/>
      <w:r w:rsidR="00DF7B8E">
        <w:rPr>
          <w:rFonts w:ascii="Times New Roman" w:hAnsi="Times New Roman" w:cs="Times New Roman"/>
          <w:sz w:val="24"/>
          <w:szCs w:val="24"/>
        </w:rPr>
        <w:t xml:space="preserve"> 209)</w:t>
      </w:r>
      <w:r>
        <w:rPr>
          <w:rFonts w:ascii="Times New Roman" w:hAnsi="Times New Roman" w:cs="Times New Roman"/>
          <w:sz w:val="24"/>
          <w:szCs w:val="24"/>
        </w:rPr>
        <w:t>,</w:t>
      </w:r>
    </w:p>
    <w:p w:rsidR="00B645FE" w:rsidRDefault="00B645FE" w:rsidP="00AE3DAC">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Il concetto di mana può naturalmente essere indicato in vari modi dal punto di vista linguistico, mentre conserva invece una certa omogeneità sul piano del contenuto. “Il suo significato tradotto affrettatamente può essere indicato con il termine potenza concetto questo che nell’antropologia religiosa è considerato in genere ciò che si esplicita e si manifesta in forme mitiche o nozioni rituali, all’uomo quale struttura di una realtà avvertita come superiore a quella umana”. (A. Di Nola, 1978).</w:t>
      </w:r>
    </w:p>
    <w:p w:rsidR="00B645FE" w:rsidRDefault="00B645FE" w:rsidP="00AE3DAC">
      <w:pPr>
        <w:spacing w:after="0" w:line="360" w:lineRule="auto"/>
        <w:ind w:left="851" w:right="851" w:firstLine="283"/>
        <w:jc w:val="both"/>
        <w:rPr>
          <w:rFonts w:ascii="Times New Roman" w:hAnsi="Times New Roman" w:cs="Times New Roman"/>
          <w:sz w:val="24"/>
          <w:szCs w:val="24"/>
        </w:rPr>
      </w:pPr>
    </w:p>
    <w:p w:rsidR="00B645FE" w:rsidRDefault="00B645FE" w:rsidP="00AE3DAC">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 xml:space="preserve">2 . </w:t>
      </w:r>
      <w:r w:rsidR="002C04BD">
        <w:rPr>
          <w:rFonts w:ascii="Times New Roman" w:hAnsi="Times New Roman" w:cs="Times New Roman"/>
          <w:sz w:val="24"/>
          <w:szCs w:val="24"/>
        </w:rPr>
        <w:t>Per avere un’idea</w:t>
      </w:r>
      <w:r w:rsidR="000E6982">
        <w:rPr>
          <w:rFonts w:ascii="Times New Roman" w:hAnsi="Times New Roman" w:cs="Times New Roman"/>
          <w:sz w:val="24"/>
          <w:szCs w:val="24"/>
        </w:rPr>
        <w:t xml:space="preserve"> di quanto sia ampio il valore semantico del termine mana all’interno dell’analisi antropologica rivolgiamoci a M. </w:t>
      </w:r>
      <w:proofErr w:type="spellStart"/>
      <w:r w:rsidR="000E6982">
        <w:rPr>
          <w:rFonts w:ascii="Times New Roman" w:hAnsi="Times New Roman" w:cs="Times New Roman"/>
          <w:sz w:val="24"/>
          <w:szCs w:val="24"/>
        </w:rPr>
        <w:t>Mauss</w:t>
      </w:r>
      <w:proofErr w:type="spellEnd"/>
      <w:r w:rsidR="000E6982">
        <w:rPr>
          <w:rFonts w:ascii="Times New Roman" w:hAnsi="Times New Roman" w:cs="Times New Roman"/>
          <w:sz w:val="24"/>
          <w:szCs w:val="24"/>
        </w:rPr>
        <w:t xml:space="preserve"> in </w:t>
      </w:r>
      <w:r w:rsidR="000E6982">
        <w:rPr>
          <w:rFonts w:ascii="Times New Roman" w:hAnsi="Times New Roman" w:cs="Times New Roman"/>
          <w:i/>
          <w:sz w:val="24"/>
          <w:szCs w:val="24"/>
        </w:rPr>
        <w:t xml:space="preserve">Teoria generale della magia e altri saggi, </w:t>
      </w:r>
      <w:r w:rsidR="000E6982">
        <w:rPr>
          <w:rFonts w:ascii="Times New Roman" w:hAnsi="Times New Roman" w:cs="Times New Roman"/>
          <w:sz w:val="24"/>
          <w:szCs w:val="24"/>
        </w:rPr>
        <w:t xml:space="preserve"> Roma 1977: “In Melanesia il mana viene fuori dal rito, presso gli Irochesi ( </w:t>
      </w:r>
      <w:proofErr w:type="spellStart"/>
      <w:r w:rsidR="000E6982">
        <w:rPr>
          <w:rFonts w:ascii="Times New Roman" w:hAnsi="Times New Roman" w:cs="Times New Roman"/>
          <w:sz w:val="24"/>
          <w:szCs w:val="24"/>
        </w:rPr>
        <w:t>Huroni</w:t>
      </w:r>
      <w:proofErr w:type="spellEnd"/>
      <w:r w:rsidR="000E6982">
        <w:rPr>
          <w:rFonts w:ascii="Times New Roman" w:hAnsi="Times New Roman" w:cs="Times New Roman"/>
          <w:sz w:val="24"/>
          <w:szCs w:val="24"/>
        </w:rPr>
        <w:t>), l’</w:t>
      </w:r>
      <w:proofErr w:type="spellStart"/>
      <w:r w:rsidR="00BE7297">
        <w:rPr>
          <w:rFonts w:ascii="Times New Roman" w:hAnsi="Times New Roman" w:cs="Times New Roman"/>
          <w:sz w:val="24"/>
          <w:szCs w:val="24"/>
        </w:rPr>
        <w:t>orenda</w:t>
      </w:r>
      <w:proofErr w:type="spellEnd"/>
      <w:r w:rsidR="00BE7297">
        <w:rPr>
          <w:rFonts w:ascii="Times New Roman" w:hAnsi="Times New Roman" w:cs="Times New Roman"/>
          <w:sz w:val="24"/>
          <w:szCs w:val="24"/>
        </w:rPr>
        <w:t xml:space="preserve"> viene lan</w:t>
      </w:r>
      <w:r w:rsidR="000E6982">
        <w:rPr>
          <w:rFonts w:ascii="Times New Roman" w:hAnsi="Times New Roman" w:cs="Times New Roman"/>
          <w:sz w:val="24"/>
          <w:szCs w:val="24"/>
        </w:rPr>
        <w:t>ciato dal mago; nell’</w:t>
      </w:r>
      <w:r w:rsidR="00BE7297">
        <w:rPr>
          <w:rFonts w:ascii="Times New Roman" w:hAnsi="Times New Roman" w:cs="Times New Roman"/>
          <w:sz w:val="24"/>
          <w:szCs w:val="24"/>
        </w:rPr>
        <w:t xml:space="preserve">India antica, il </w:t>
      </w:r>
      <w:proofErr w:type="spellStart"/>
      <w:r w:rsidR="00BE7297">
        <w:rPr>
          <w:rFonts w:ascii="Times New Roman" w:hAnsi="Times New Roman" w:cs="Times New Roman"/>
          <w:sz w:val="24"/>
          <w:szCs w:val="24"/>
        </w:rPr>
        <w:t>brahman</w:t>
      </w:r>
      <w:proofErr w:type="spellEnd"/>
      <w:r w:rsidR="00BE7297">
        <w:rPr>
          <w:rFonts w:ascii="Times New Roman" w:hAnsi="Times New Roman" w:cs="Times New Roman"/>
          <w:sz w:val="24"/>
          <w:szCs w:val="24"/>
        </w:rPr>
        <w:t xml:space="preserve"> viene lanciato </w:t>
      </w:r>
      <w:r w:rsidR="000E6982">
        <w:rPr>
          <w:rFonts w:ascii="Times New Roman" w:hAnsi="Times New Roman" w:cs="Times New Roman"/>
          <w:sz w:val="24"/>
          <w:szCs w:val="24"/>
        </w:rPr>
        <w:t xml:space="preserve"> in procinto di agire; presso di noi , la malia, il sortilegio, l’incantesimo</w:t>
      </w:r>
      <w:r w:rsidR="00BE7297">
        <w:rPr>
          <w:rFonts w:ascii="Times New Roman" w:hAnsi="Times New Roman" w:cs="Times New Roman"/>
          <w:sz w:val="24"/>
          <w:szCs w:val="24"/>
        </w:rPr>
        <w:t>,</w:t>
      </w:r>
      <w:r w:rsidR="000E6982">
        <w:rPr>
          <w:rFonts w:ascii="Times New Roman" w:hAnsi="Times New Roman" w:cs="Times New Roman"/>
          <w:sz w:val="24"/>
          <w:szCs w:val="24"/>
        </w:rPr>
        <w:t xml:space="preserve"> le par</w:t>
      </w:r>
      <w:r w:rsidR="00BE7297">
        <w:rPr>
          <w:rFonts w:ascii="Times New Roman" w:hAnsi="Times New Roman" w:cs="Times New Roman"/>
          <w:sz w:val="24"/>
          <w:szCs w:val="24"/>
        </w:rPr>
        <w:t>ole stesse con cui vengo</w:t>
      </w:r>
      <w:r w:rsidR="000E6982">
        <w:rPr>
          <w:rFonts w:ascii="Times New Roman" w:hAnsi="Times New Roman" w:cs="Times New Roman"/>
          <w:sz w:val="24"/>
          <w:szCs w:val="24"/>
        </w:rPr>
        <w:t>no determinate</w:t>
      </w:r>
      <w:r w:rsidR="00BE7297">
        <w:rPr>
          <w:rFonts w:ascii="Times New Roman" w:hAnsi="Times New Roman" w:cs="Times New Roman"/>
          <w:sz w:val="24"/>
          <w:szCs w:val="24"/>
        </w:rPr>
        <w:t xml:space="preserve"> queste nozioni mostrano quanto esse fossero poco teoriche Se ne parla come di </w:t>
      </w:r>
      <w:r w:rsidR="00BE7297">
        <w:rPr>
          <w:rFonts w:ascii="Times New Roman" w:hAnsi="Times New Roman" w:cs="Times New Roman"/>
          <w:sz w:val="24"/>
          <w:szCs w:val="24"/>
        </w:rPr>
        <w:lastRenderedPageBreak/>
        <w:t xml:space="preserve">cose concrete e di oggetti materiali; </w:t>
      </w:r>
      <w:r w:rsidR="00F40312">
        <w:rPr>
          <w:rFonts w:ascii="Times New Roman" w:hAnsi="Times New Roman" w:cs="Times New Roman"/>
          <w:sz w:val="24"/>
          <w:szCs w:val="24"/>
        </w:rPr>
        <w:t>“</w:t>
      </w:r>
      <w:r w:rsidR="00BE7297">
        <w:rPr>
          <w:rFonts w:ascii="Times New Roman" w:hAnsi="Times New Roman" w:cs="Times New Roman"/>
          <w:sz w:val="24"/>
          <w:szCs w:val="24"/>
        </w:rPr>
        <w:t>si getta un</w:t>
      </w:r>
      <w:r w:rsidR="00627C13">
        <w:rPr>
          <w:rFonts w:ascii="Times New Roman" w:hAnsi="Times New Roman" w:cs="Times New Roman"/>
          <w:sz w:val="24"/>
          <w:szCs w:val="24"/>
        </w:rPr>
        <w:t xml:space="preserve"> incantesimo, una runa; si  lava</w:t>
      </w:r>
      <w:r w:rsidR="00BE7297">
        <w:rPr>
          <w:rFonts w:ascii="Times New Roman" w:hAnsi="Times New Roman" w:cs="Times New Roman"/>
          <w:sz w:val="24"/>
          <w:szCs w:val="24"/>
        </w:rPr>
        <w:t>, si lega, si brucia il sortilegio” (MUSS, 1991, pg.60).</w:t>
      </w:r>
    </w:p>
    <w:p w:rsidR="00BE7297" w:rsidRDefault="00BE7297" w:rsidP="00AE3DAC">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 xml:space="preserve">Da un certo punto di vista non vi sarebbero </w:t>
      </w:r>
      <w:proofErr w:type="spellStart"/>
      <w:r>
        <w:rPr>
          <w:rFonts w:ascii="Times New Roman" w:hAnsi="Times New Roman" w:cs="Times New Roman"/>
          <w:sz w:val="24"/>
          <w:szCs w:val="24"/>
        </w:rPr>
        <w:t>differeze</w:t>
      </w:r>
      <w:proofErr w:type="spellEnd"/>
      <w:r>
        <w:rPr>
          <w:rFonts w:ascii="Times New Roman" w:hAnsi="Times New Roman" w:cs="Times New Roman"/>
          <w:sz w:val="24"/>
          <w:szCs w:val="24"/>
        </w:rPr>
        <w:t xml:space="preserve"> sostanziali tra l’</w:t>
      </w:r>
      <w:proofErr w:type="spellStart"/>
      <w:r>
        <w:rPr>
          <w:rFonts w:ascii="Times New Roman" w:hAnsi="Times New Roman" w:cs="Times New Roman"/>
          <w:i/>
          <w:sz w:val="24"/>
          <w:szCs w:val="24"/>
        </w:rPr>
        <w:t>orenda</w:t>
      </w:r>
      <w:proofErr w:type="spellEnd"/>
      <w:r>
        <w:rPr>
          <w:rFonts w:ascii="Times New Roman" w:hAnsi="Times New Roman" w:cs="Times New Roman"/>
          <w:sz w:val="24"/>
          <w:szCs w:val="24"/>
        </w:rPr>
        <w:t xml:space="preserve"> degli irochesi e la </w:t>
      </w:r>
      <w:proofErr w:type="spellStart"/>
      <w:r>
        <w:rPr>
          <w:rFonts w:ascii="Times New Roman" w:hAnsi="Times New Roman" w:cs="Times New Roman"/>
          <w:i/>
          <w:sz w:val="24"/>
          <w:szCs w:val="24"/>
        </w:rPr>
        <w:t>dynamis</w:t>
      </w:r>
      <w:proofErr w:type="spellEnd"/>
      <w:r>
        <w:rPr>
          <w:rFonts w:ascii="Times New Roman" w:hAnsi="Times New Roman" w:cs="Times New Roman"/>
          <w:sz w:val="24"/>
          <w:szCs w:val="24"/>
        </w:rPr>
        <w:t xml:space="preserve"> più volte indicata nella religione classica fino al </w:t>
      </w:r>
      <w:proofErr w:type="spellStart"/>
      <w:r>
        <w:rPr>
          <w:rFonts w:ascii="Times New Roman" w:hAnsi="Times New Roman" w:cs="Times New Roman"/>
          <w:i/>
          <w:sz w:val="24"/>
          <w:szCs w:val="24"/>
        </w:rPr>
        <w:t>Nuovvo</w:t>
      </w:r>
      <w:proofErr w:type="spellEnd"/>
      <w:r>
        <w:rPr>
          <w:rFonts w:ascii="Times New Roman" w:hAnsi="Times New Roman" w:cs="Times New Roman"/>
          <w:i/>
          <w:sz w:val="24"/>
          <w:szCs w:val="24"/>
        </w:rPr>
        <w:t xml:space="preserve"> testamento. </w:t>
      </w:r>
      <w:r w:rsidRPr="00BE7297">
        <w:rPr>
          <w:rFonts w:ascii="Times New Roman" w:hAnsi="Times New Roman" w:cs="Times New Roman"/>
          <w:sz w:val="24"/>
          <w:szCs w:val="24"/>
        </w:rPr>
        <w:t xml:space="preserve">Si tratta sempre di una </w:t>
      </w:r>
      <w:r>
        <w:rPr>
          <w:rFonts w:ascii="Times New Roman" w:hAnsi="Times New Roman" w:cs="Times New Roman"/>
          <w:sz w:val="24"/>
          <w:szCs w:val="24"/>
        </w:rPr>
        <w:t>“</w:t>
      </w:r>
      <w:r w:rsidRPr="00BE7297">
        <w:rPr>
          <w:rFonts w:ascii="Times New Roman" w:hAnsi="Times New Roman" w:cs="Times New Roman"/>
          <w:sz w:val="24"/>
          <w:szCs w:val="24"/>
        </w:rPr>
        <w:t>forza anonima</w:t>
      </w:r>
      <w:r>
        <w:rPr>
          <w:rFonts w:ascii="Times New Roman" w:hAnsi="Times New Roman" w:cs="Times New Roman"/>
          <w:sz w:val="24"/>
          <w:szCs w:val="24"/>
        </w:rPr>
        <w:t xml:space="preserve"> e impersonale” come forme e manifestazioni praticamente illimitate, che possano giungere agli uomini da molteplici portatori:</w:t>
      </w:r>
    </w:p>
    <w:p w:rsidR="00BE7297" w:rsidRPr="00627C13" w:rsidRDefault="00627C13" w:rsidP="00627C13">
      <w:pPr>
        <w:pStyle w:val="Paragrafoelenco"/>
        <w:numPr>
          <w:ilvl w:val="0"/>
          <w:numId w:val="1"/>
        </w:numPr>
        <w:spacing w:after="0" w:line="360" w:lineRule="auto"/>
        <w:ind w:left="851" w:right="851" w:firstLine="283"/>
        <w:jc w:val="both"/>
        <w:rPr>
          <w:rFonts w:ascii="Times New Roman" w:hAnsi="Times New Roman" w:cs="Times New Roman"/>
          <w:sz w:val="24"/>
          <w:szCs w:val="24"/>
        </w:rPr>
      </w:pPr>
      <w:r w:rsidRPr="00627C13">
        <w:rPr>
          <w:rFonts w:ascii="Times New Roman" w:hAnsi="Times New Roman" w:cs="Times New Roman"/>
          <w:sz w:val="24"/>
          <w:szCs w:val="24"/>
        </w:rPr>
        <w:t>f</w:t>
      </w:r>
      <w:r w:rsidR="00BE7297" w:rsidRPr="00627C13">
        <w:rPr>
          <w:rFonts w:ascii="Times New Roman" w:hAnsi="Times New Roman" w:cs="Times New Roman"/>
          <w:sz w:val="24"/>
          <w:szCs w:val="24"/>
        </w:rPr>
        <w:t>igure mitiche (essere supremo, spiriti, demoni)</w:t>
      </w:r>
    </w:p>
    <w:p w:rsidR="00BE7297" w:rsidRDefault="00BE7297" w:rsidP="00BE7297">
      <w:pPr>
        <w:pStyle w:val="Paragrafoelenco"/>
        <w:numPr>
          <w:ilvl w:val="0"/>
          <w:numId w:val="1"/>
        </w:numPr>
        <w:spacing w:after="0" w:line="360" w:lineRule="auto"/>
        <w:ind w:right="851"/>
        <w:jc w:val="both"/>
        <w:rPr>
          <w:rFonts w:ascii="Times New Roman" w:hAnsi="Times New Roman" w:cs="Times New Roman"/>
          <w:sz w:val="24"/>
          <w:szCs w:val="24"/>
        </w:rPr>
      </w:pPr>
      <w:r w:rsidRPr="00627C13">
        <w:rPr>
          <w:rFonts w:ascii="Times New Roman" w:hAnsi="Times New Roman" w:cs="Times New Roman"/>
          <w:sz w:val="24"/>
          <w:szCs w:val="24"/>
        </w:rPr>
        <w:t>figure eroiche, fondatori culturali</w:t>
      </w:r>
    </w:p>
    <w:p w:rsidR="00627C13" w:rsidRDefault="00627C13" w:rsidP="00BE7297">
      <w:pPr>
        <w:pStyle w:val="Paragrafoelenco"/>
        <w:numPr>
          <w:ilvl w:val="0"/>
          <w:numId w:val="1"/>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 xml:space="preserve">mediatori di tipo </w:t>
      </w:r>
      <w:proofErr w:type="spellStart"/>
      <w:r>
        <w:rPr>
          <w:rFonts w:ascii="Times New Roman" w:hAnsi="Times New Roman" w:cs="Times New Roman"/>
          <w:sz w:val="24"/>
          <w:szCs w:val="24"/>
        </w:rPr>
        <w:t>sacerdoltale</w:t>
      </w:r>
      <w:proofErr w:type="spellEnd"/>
    </w:p>
    <w:p w:rsidR="00627C13" w:rsidRDefault="00627C13" w:rsidP="00BE7297">
      <w:pPr>
        <w:pStyle w:val="Paragrafoelenco"/>
        <w:numPr>
          <w:ilvl w:val="0"/>
          <w:numId w:val="1"/>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operatori di magia e stregoneria</w:t>
      </w:r>
    </w:p>
    <w:p w:rsidR="00627C13" w:rsidRDefault="00627C13" w:rsidP="00BE7297">
      <w:pPr>
        <w:pStyle w:val="Paragrafoelenco"/>
        <w:numPr>
          <w:ilvl w:val="0"/>
          <w:numId w:val="1"/>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forze personali e vitali agenti nell’uomo (anima, soffio, respiro)</w:t>
      </w:r>
    </w:p>
    <w:p w:rsidR="00627C13" w:rsidRDefault="00627C13" w:rsidP="00BE7297">
      <w:pPr>
        <w:pStyle w:val="Paragrafoelenco"/>
        <w:numPr>
          <w:ilvl w:val="0"/>
          <w:numId w:val="1"/>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 xml:space="preserve">tutto un popolo o un gruppo </w:t>
      </w:r>
    </w:p>
    <w:p w:rsidR="00627C13" w:rsidRDefault="00627C13" w:rsidP="00BE7297">
      <w:pPr>
        <w:pStyle w:val="Paragrafoelenco"/>
        <w:numPr>
          <w:ilvl w:val="0"/>
          <w:numId w:val="1"/>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 xml:space="preserve">oggetti naturali </w:t>
      </w:r>
    </w:p>
    <w:p w:rsidR="00627C13" w:rsidRDefault="00627C13" w:rsidP="00BE7297">
      <w:pPr>
        <w:pStyle w:val="Paragrafoelenco"/>
        <w:numPr>
          <w:ilvl w:val="0"/>
          <w:numId w:val="1"/>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 xml:space="preserve">oggetti naturali o artefatti che contengono parti ritenute magiche (feticci, statue, </w:t>
      </w:r>
      <w:proofErr w:type="spellStart"/>
      <w:r>
        <w:rPr>
          <w:rFonts w:ascii="Times New Roman" w:hAnsi="Times New Roman" w:cs="Times New Roman"/>
          <w:sz w:val="24"/>
          <w:szCs w:val="24"/>
        </w:rPr>
        <w:t>talismanni</w:t>
      </w:r>
      <w:proofErr w:type="spellEnd"/>
      <w:r>
        <w:rPr>
          <w:rFonts w:ascii="Times New Roman" w:hAnsi="Times New Roman" w:cs="Times New Roman"/>
          <w:sz w:val="24"/>
          <w:szCs w:val="24"/>
        </w:rPr>
        <w:t>, amuleti)</w:t>
      </w:r>
    </w:p>
    <w:p w:rsidR="00627C13" w:rsidRDefault="00627C13" w:rsidP="00627C13">
      <w:pPr>
        <w:spacing w:after="0" w:line="360" w:lineRule="auto"/>
        <w:ind w:left="708" w:right="851" w:firstLine="708"/>
        <w:jc w:val="both"/>
        <w:rPr>
          <w:rFonts w:ascii="Times New Roman" w:hAnsi="Times New Roman" w:cs="Times New Roman"/>
          <w:sz w:val="24"/>
          <w:szCs w:val="24"/>
        </w:rPr>
      </w:pPr>
    </w:p>
    <w:p w:rsidR="00627C13" w:rsidRDefault="00627C13" w:rsidP="00627C13">
      <w:pPr>
        <w:spacing w:after="0" w:line="360" w:lineRule="auto"/>
        <w:ind w:left="1134" w:right="851" w:firstLine="282"/>
        <w:jc w:val="both"/>
        <w:rPr>
          <w:rFonts w:ascii="Times New Roman" w:hAnsi="Times New Roman" w:cs="Times New Roman"/>
          <w:sz w:val="24"/>
          <w:szCs w:val="24"/>
        </w:rPr>
      </w:pPr>
      <w:r>
        <w:rPr>
          <w:rFonts w:ascii="Times New Roman" w:hAnsi="Times New Roman" w:cs="Times New Roman"/>
          <w:sz w:val="24"/>
          <w:szCs w:val="24"/>
        </w:rPr>
        <w:t>3 . La potenza soprannaturale del mana per giungere agli uomini necess</w:t>
      </w:r>
      <w:r w:rsidR="00F40312">
        <w:rPr>
          <w:rFonts w:ascii="Times New Roman" w:hAnsi="Times New Roman" w:cs="Times New Roman"/>
          <w:sz w:val="24"/>
          <w:szCs w:val="24"/>
        </w:rPr>
        <w:t>i</w:t>
      </w:r>
      <w:r>
        <w:rPr>
          <w:rFonts w:ascii="Times New Roman" w:hAnsi="Times New Roman" w:cs="Times New Roman"/>
          <w:sz w:val="24"/>
          <w:szCs w:val="24"/>
        </w:rPr>
        <w:t xml:space="preserve">ta, oltre </w:t>
      </w:r>
      <w:r w:rsidR="00330D66">
        <w:rPr>
          <w:rFonts w:ascii="Times New Roman" w:hAnsi="Times New Roman" w:cs="Times New Roman"/>
          <w:sz w:val="24"/>
          <w:szCs w:val="24"/>
        </w:rPr>
        <w:t>al</w:t>
      </w:r>
      <w:r w:rsidR="00F40312">
        <w:rPr>
          <w:rFonts w:ascii="Times New Roman" w:hAnsi="Times New Roman" w:cs="Times New Roman"/>
          <w:sz w:val="24"/>
          <w:szCs w:val="24"/>
        </w:rPr>
        <w:t xml:space="preserve"> mezzo </w:t>
      </w:r>
      <w:r>
        <w:rPr>
          <w:rFonts w:ascii="Times New Roman" w:hAnsi="Times New Roman" w:cs="Times New Roman"/>
          <w:sz w:val="24"/>
          <w:szCs w:val="24"/>
        </w:rPr>
        <w:t>attraverso il quale transi</w:t>
      </w:r>
      <w:r w:rsidR="00F40312">
        <w:rPr>
          <w:rFonts w:ascii="Times New Roman" w:hAnsi="Times New Roman" w:cs="Times New Roman"/>
          <w:sz w:val="24"/>
          <w:szCs w:val="24"/>
        </w:rPr>
        <w:t>tare</w:t>
      </w:r>
      <w:r>
        <w:rPr>
          <w:rFonts w:ascii="Times New Roman" w:hAnsi="Times New Roman" w:cs="Times New Roman"/>
          <w:sz w:val="24"/>
          <w:szCs w:val="24"/>
        </w:rPr>
        <w:t xml:space="preserve"> e che abbiamo indicato precedentemente, anche di condizioni generali tali</w:t>
      </w:r>
      <w:r w:rsidR="00330D66">
        <w:rPr>
          <w:rFonts w:ascii="Times New Roman" w:hAnsi="Times New Roman" w:cs="Times New Roman"/>
          <w:sz w:val="24"/>
          <w:szCs w:val="24"/>
        </w:rPr>
        <w:t xml:space="preserve"> da consentire la manifestazione. Ne consegue </w:t>
      </w:r>
      <w:r w:rsidR="00F40312">
        <w:rPr>
          <w:rFonts w:ascii="Times New Roman" w:hAnsi="Times New Roman" w:cs="Times New Roman"/>
          <w:sz w:val="24"/>
          <w:szCs w:val="24"/>
        </w:rPr>
        <w:t xml:space="preserve">il suo </w:t>
      </w:r>
      <w:r w:rsidR="00330D66">
        <w:rPr>
          <w:rFonts w:ascii="Times New Roman" w:hAnsi="Times New Roman" w:cs="Times New Roman"/>
          <w:sz w:val="24"/>
          <w:szCs w:val="24"/>
        </w:rPr>
        <w:t>manifestarsi a vari livelli:</w:t>
      </w:r>
    </w:p>
    <w:p w:rsidR="00330D66" w:rsidRDefault="00330D66" w:rsidP="00330D66">
      <w:pPr>
        <w:pStyle w:val="Paragrafoelenco"/>
        <w:numPr>
          <w:ilvl w:val="0"/>
          <w:numId w:val="2"/>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teofania</w:t>
      </w:r>
      <w:r w:rsidR="00F40312">
        <w:rPr>
          <w:rFonts w:ascii="Times New Roman" w:hAnsi="Times New Roman" w:cs="Times New Roman"/>
          <w:sz w:val="24"/>
          <w:szCs w:val="24"/>
        </w:rPr>
        <w:t>,</w:t>
      </w:r>
      <w:r>
        <w:rPr>
          <w:rFonts w:ascii="Times New Roman" w:hAnsi="Times New Roman" w:cs="Times New Roman"/>
          <w:sz w:val="24"/>
          <w:szCs w:val="24"/>
        </w:rPr>
        <w:t xml:space="preserve"> </w:t>
      </w:r>
      <w:r w:rsidR="00F40312">
        <w:rPr>
          <w:rFonts w:ascii="Times New Roman" w:hAnsi="Times New Roman" w:cs="Times New Roman"/>
          <w:sz w:val="24"/>
          <w:szCs w:val="24"/>
        </w:rPr>
        <w:t>m</w:t>
      </w:r>
      <w:r>
        <w:rPr>
          <w:rFonts w:ascii="Times New Roman" w:hAnsi="Times New Roman" w:cs="Times New Roman"/>
          <w:sz w:val="24"/>
          <w:szCs w:val="24"/>
        </w:rPr>
        <w:t>odo di essere del mondo divino, soprannaturale e superumano)</w:t>
      </w:r>
    </w:p>
    <w:p w:rsidR="00330D66" w:rsidRDefault="00330D66" w:rsidP="00330D66">
      <w:pPr>
        <w:pStyle w:val="Paragrafoelenco"/>
        <w:numPr>
          <w:ilvl w:val="0"/>
          <w:numId w:val="2"/>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qualifica connaturata in alcune realtà che ottengono tale potenza dall’universo divino</w:t>
      </w:r>
    </w:p>
    <w:p w:rsidR="00330D66" w:rsidRDefault="00330D66" w:rsidP="00330D66">
      <w:pPr>
        <w:pStyle w:val="Paragrafoelenco"/>
        <w:numPr>
          <w:ilvl w:val="0"/>
          <w:numId w:val="2"/>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qualifica acquisita da cose o persone che sono entrate a far parte dell’area del divino o della magia</w:t>
      </w:r>
    </w:p>
    <w:p w:rsidR="00330D66" w:rsidRDefault="00330D66" w:rsidP="00330D66">
      <w:pPr>
        <w:pStyle w:val="Paragrafoelenco"/>
        <w:numPr>
          <w:ilvl w:val="0"/>
          <w:numId w:val="2"/>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 xml:space="preserve">come effetto di rituali o pratiche destinate a rendere più attivo il rapporto tra il mondo degli uomini e quello degli </w:t>
      </w:r>
      <w:proofErr w:type="spellStart"/>
      <w:r>
        <w:rPr>
          <w:rFonts w:ascii="Times New Roman" w:hAnsi="Times New Roman" w:cs="Times New Roman"/>
          <w:sz w:val="24"/>
          <w:szCs w:val="24"/>
        </w:rPr>
        <w:t>dèi</w:t>
      </w:r>
      <w:proofErr w:type="spellEnd"/>
      <w:r>
        <w:rPr>
          <w:rFonts w:ascii="Times New Roman" w:hAnsi="Times New Roman" w:cs="Times New Roman"/>
          <w:sz w:val="24"/>
          <w:szCs w:val="24"/>
        </w:rPr>
        <w:t>.</w:t>
      </w:r>
    </w:p>
    <w:p w:rsidR="00330D66" w:rsidRDefault="00330D66" w:rsidP="00330D66">
      <w:pPr>
        <w:pStyle w:val="Paragrafoelenco"/>
        <w:numPr>
          <w:ilvl w:val="0"/>
          <w:numId w:val="2"/>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Concludiamo cercando di raggiungere una più precisa definizione del concetto di mana, pur tenendo conto delle implicazioni metodologiche necessarie e non applicabile in una valutazione globale, possiamo constatare che il mana assume alcuni aspetti fondamentali:</w:t>
      </w:r>
    </w:p>
    <w:p w:rsidR="003B43E9" w:rsidRDefault="001335E5" w:rsidP="001335E5">
      <w:pPr>
        <w:pStyle w:val="Paragrafoelenco"/>
        <w:numPr>
          <w:ilvl w:val="0"/>
          <w:numId w:val="3"/>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Si esplica sia a livello magico che religioso</w:t>
      </w:r>
    </w:p>
    <w:p w:rsidR="001335E5" w:rsidRDefault="001335E5" w:rsidP="001335E5">
      <w:pPr>
        <w:pStyle w:val="Paragrafoelenco"/>
        <w:numPr>
          <w:ilvl w:val="0"/>
          <w:numId w:val="3"/>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Può essere espressione generalizzata delle divinità pe</w:t>
      </w:r>
      <w:r w:rsidR="00A2646C">
        <w:rPr>
          <w:rFonts w:ascii="Times New Roman" w:hAnsi="Times New Roman" w:cs="Times New Roman"/>
          <w:sz w:val="24"/>
          <w:szCs w:val="24"/>
        </w:rPr>
        <w:t>r</w:t>
      </w:r>
      <w:r>
        <w:rPr>
          <w:rFonts w:ascii="Times New Roman" w:hAnsi="Times New Roman" w:cs="Times New Roman"/>
          <w:sz w:val="24"/>
          <w:szCs w:val="24"/>
        </w:rPr>
        <w:t>sonali</w:t>
      </w:r>
    </w:p>
    <w:p w:rsidR="001335E5" w:rsidRDefault="001335E5" w:rsidP="001335E5">
      <w:pPr>
        <w:pStyle w:val="Paragrafoelenco"/>
        <w:numPr>
          <w:ilvl w:val="0"/>
          <w:numId w:val="3"/>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Presenta una connatura</w:t>
      </w:r>
      <w:r w:rsidR="007C54FC">
        <w:rPr>
          <w:rFonts w:ascii="Times New Roman" w:hAnsi="Times New Roman" w:cs="Times New Roman"/>
          <w:sz w:val="24"/>
          <w:szCs w:val="24"/>
        </w:rPr>
        <w:t>ta</w:t>
      </w:r>
      <w:r>
        <w:rPr>
          <w:rFonts w:ascii="Times New Roman" w:hAnsi="Times New Roman" w:cs="Times New Roman"/>
          <w:sz w:val="24"/>
          <w:szCs w:val="24"/>
        </w:rPr>
        <w:t xml:space="preserve"> ambivalenza che si constata nella sua condizione d potenza benefica o negativa</w:t>
      </w:r>
    </w:p>
    <w:p w:rsidR="001335E5" w:rsidRDefault="001335E5" w:rsidP="001335E5">
      <w:pPr>
        <w:pStyle w:val="Paragrafoelenco"/>
        <w:numPr>
          <w:ilvl w:val="0"/>
          <w:numId w:val="3"/>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lastRenderedPageBreak/>
        <w:t>Si rivela all’uomo con due differenti livelli, quello che riguarda lo straordinario, l’insolito, il meraviglioso, il non-normale, e quello che riguarda la vitalità, la forza creatrice, la costituzione dell’ordine cosmico</w:t>
      </w:r>
    </w:p>
    <w:p w:rsidR="006311D7" w:rsidRDefault="001335E5" w:rsidP="006311D7">
      <w:pPr>
        <w:pStyle w:val="Paragrafoelenco"/>
        <w:numPr>
          <w:ilvl w:val="0"/>
          <w:numId w:val="3"/>
        </w:numPr>
        <w:spacing w:after="0" w:line="360" w:lineRule="auto"/>
        <w:ind w:right="851"/>
        <w:jc w:val="both"/>
        <w:rPr>
          <w:rFonts w:ascii="Times New Roman" w:hAnsi="Times New Roman" w:cs="Times New Roman"/>
          <w:sz w:val="24"/>
          <w:szCs w:val="24"/>
        </w:rPr>
      </w:pPr>
      <w:r w:rsidRPr="00771B39">
        <w:rPr>
          <w:rFonts w:ascii="Times New Roman" w:hAnsi="Times New Roman" w:cs="Times New Roman"/>
          <w:sz w:val="24"/>
          <w:szCs w:val="24"/>
        </w:rPr>
        <w:t>In genere può trasmettersi con il contatto, o con atti rituali o di altro tipo</w:t>
      </w:r>
      <w:r w:rsidR="00317909" w:rsidRPr="00771B39">
        <w:rPr>
          <w:rFonts w:ascii="Times New Roman" w:hAnsi="Times New Roman" w:cs="Times New Roman"/>
          <w:sz w:val="24"/>
          <w:szCs w:val="24"/>
        </w:rPr>
        <w:t xml:space="preserve"> </w:t>
      </w:r>
      <w:r w:rsidRPr="00771B39">
        <w:rPr>
          <w:rFonts w:ascii="Times New Roman" w:hAnsi="Times New Roman" w:cs="Times New Roman"/>
          <w:sz w:val="24"/>
          <w:szCs w:val="24"/>
        </w:rPr>
        <w:t>(chiamata, invocazione, iniziazione,</w:t>
      </w:r>
      <w:r w:rsidR="006311D7">
        <w:rPr>
          <w:rFonts w:ascii="Times New Roman" w:hAnsi="Times New Roman" w:cs="Times New Roman"/>
          <w:sz w:val="24"/>
          <w:szCs w:val="24"/>
        </w:rPr>
        <w:t xml:space="preserve"> sogno, visione, sacrificio e</w:t>
      </w:r>
      <w:r w:rsidR="00317909" w:rsidRPr="00771B39">
        <w:rPr>
          <w:rFonts w:ascii="Times New Roman" w:hAnsi="Times New Roman" w:cs="Times New Roman"/>
          <w:sz w:val="24"/>
          <w:szCs w:val="24"/>
        </w:rPr>
        <w:t>cc</w:t>
      </w:r>
      <w:r w:rsidR="006311D7">
        <w:rPr>
          <w:rFonts w:ascii="Times New Roman" w:hAnsi="Times New Roman" w:cs="Times New Roman"/>
          <w:sz w:val="24"/>
          <w:szCs w:val="24"/>
        </w:rPr>
        <w:t>etera.</w:t>
      </w:r>
    </w:p>
    <w:p w:rsidR="006311D7" w:rsidRDefault="006311D7" w:rsidP="006311D7">
      <w:pPr>
        <w:spacing w:after="0" w:line="360" w:lineRule="auto"/>
        <w:ind w:right="851"/>
        <w:jc w:val="both"/>
        <w:rPr>
          <w:rFonts w:ascii="Times New Roman" w:hAnsi="Times New Roman" w:cs="Times New Roman"/>
          <w:sz w:val="24"/>
          <w:szCs w:val="24"/>
        </w:rPr>
      </w:pPr>
    </w:p>
    <w:p w:rsidR="006311D7" w:rsidRDefault="006311D7" w:rsidP="006311D7">
      <w:pPr>
        <w:spacing w:after="0" w:line="360" w:lineRule="auto"/>
        <w:ind w:left="1416" w:right="851"/>
        <w:jc w:val="both"/>
        <w:rPr>
          <w:rFonts w:ascii="Times New Roman" w:hAnsi="Times New Roman" w:cs="Times New Roman"/>
          <w:sz w:val="24"/>
          <w:szCs w:val="24"/>
        </w:rPr>
      </w:pPr>
      <w:r>
        <w:rPr>
          <w:rFonts w:ascii="Times New Roman" w:hAnsi="Times New Roman" w:cs="Times New Roman"/>
          <w:sz w:val="24"/>
          <w:szCs w:val="24"/>
        </w:rPr>
        <w:t>4 . TABU’</w:t>
      </w:r>
    </w:p>
    <w:p w:rsidR="006311D7" w:rsidRDefault="006311D7" w:rsidP="006311D7">
      <w:pPr>
        <w:spacing w:after="0" w:line="360" w:lineRule="auto"/>
        <w:ind w:left="1416" w:right="851"/>
        <w:jc w:val="both"/>
        <w:rPr>
          <w:rFonts w:ascii="Times New Roman" w:hAnsi="Times New Roman" w:cs="Times New Roman"/>
          <w:sz w:val="24"/>
          <w:szCs w:val="24"/>
        </w:rPr>
      </w:pPr>
    </w:p>
    <w:p w:rsidR="006311D7" w:rsidRDefault="006311D7" w:rsidP="006311D7">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L’idea di mana è una di quelle idee non limpide, di cui crediamo di esserci sbarazzati e che, di conseguenza, facciamo fatica a concepire (…). L’idea di mana è composta di una serie di idee instabili che si confondono le une con le altre. Il mana è di volta in volta e insieme, qualità, sostanza e attività (…). Il mana è separato dalla vita ordinaria</w:t>
      </w:r>
      <w:r w:rsidR="00571D98">
        <w:rPr>
          <w:rFonts w:ascii="Times New Roman" w:hAnsi="Times New Roman" w:cs="Times New Roman"/>
          <w:sz w:val="24"/>
          <w:szCs w:val="24"/>
        </w:rPr>
        <w:t xml:space="preserve"> ed è oggetto di una reverenza che può giungere fino al tabù. Si può dire che tutte le cose mana sono tabù (M.MAUSS. 1991, pag. 110-113).</w:t>
      </w:r>
    </w:p>
    <w:p w:rsidR="00571D98" w:rsidRDefault="00571D98" w:rsidP="006311D7">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 xml:space="preserve">M </w:t>
      </w:r>
      <w:proofErr w:type="spellStart"/>
      <w:r>
        <w:rPr>
          <w:rFonts w:ascii="Times New Roman" w:hAnsi="Times New Roman" w:cs="Times New Roman"/>
          <w:sz w:val="24"/>
          <w:szCs w:val="24"/>
        </w:rPr>
        <w:t>Mauss</w:t>
      </w:r>
      <w:proofErr w:type="spellEnd"/>
      <w:r>
        <w:rPr>
          <w:rFonts w:ascii="Times New Roman" w:hAnsi="Times New Roman" w:cs="Times New Roman"/>
          <w:sz w:val="24"/>
          <w:szCs w:val="24"/>
        </w:rPr>
        <w:t xml:space="preserve">, ha posto in evidenza un aspetto particolarmente significativo del mana, il suo rapporto con il concetto di tabù: un rapporto già indicato da </w:t>
      </w:r>
      <w:proofErr w:type="spellStart"/>
      <w:r>
        <w:rPr>
          <w:rFonts w:ascii="Times New Roman" w:hAnsi="Times New Roman" w:cs="Times New Roman"/>
          <w:sz w:val="24"/>
          <w:szCs w:val="24"/>
        </w:rPr>
        <w:t>Marett</w:t>
      </w:r>
      <w:proofErr w:type="spellEnd"/>
      <w:r>
        <w:rPr>
          <w:rFonts w:ascii="Times New Roman" w:hAnsi="Times New Roman" w:cs="Times New Roman"/>
          <w:sz w:val="24"/>
          <w:szCs w:val="24"/>
        </w:rPr>
        <w:t xml:space="preserve"> e al quale è necessario dedicare una breve riflessione.</w:t>
      </w:r>
    </w:p>
    <w:p w:rsidR="00F623FD" w:rsidRDefault="00F623FD" w:rsidP="006311D7">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 xml:space="preserve">Il termine </w:t>
      </w:r>
      <w:r w:rsidR="00A93AE2">
        <w:rPr>
          <w:rFonts w:ascii="Times New Roman" w:hAnsi="Times New Roman" w:cs="Times New Roman"/>
          <w:sz w:val="24"/>
          <w:szCs w:val="24"/>
        </w:rPr>
        <w:t xml:space="preserve">è </w:t>
      </w:r>
      <w:r>
        <w:rPr>
          <w:rFonts w:ascii="Times New Roman" w:hAnsi="Times New Roman" w:cs="Times New Roman"/>
          <w:sz w:val="24"/>
          <w:szCs w:val="24"/>
        </w:rPr>
        <w:t>di origine polinesiana e indica la particolare condizione, permanente o oc</w:t>
      </w:r>
      <w:r w:rsidR="00A93AE2">
        <w:rPr>
          <w:rFonts w:ascii="Times New Roman" w:hAnsi="Times New Roman" w:cs="Times New Roman"/>
          <w:sz w:val="24"/>
          <w:szCs w:val="24"/>
        </w:rPr>
        <w:t>c</w:t>
      </w:r>
      <w:r>
        <w:rPr>
          <w:rFonts w:ascii="Times New Roman" w:hAnsi="Times New Roman" w:cs="Times New Roman"/>
          <w:sz w:val="24"/>
          <w:szCs w:val="24"/>
        </w:rPr>
        <w:t>asionale, propria di persone, animali, oggetti, tempi e luoghi, in rapporto ai quali vige un obbligo tradizionale, sa</w:t>
      </w:r>
      <w:r w:rsidR="00A93AE2">
        <w:rPr>
          <w:rFonts w:ascii="Times New Roman" w:hAnsi="Times New Roman" w:cs="Times New Roman"/>
          <w:sz w:val="24"/>
          <w:szCs w:val="24"/>
        </w:rPr>
        <w:t>n</w:t>
      </w:r>
      <w:r>
        <w:rPr>
          <w:rFonts w:ascii="Times New Roman" w:hAnsi="Times New Roman" w:cs="Times New Roman"/>
          <w:sz w:val="24"/>
          <w:szCs w:val="24"/>
        </w:rPr>
        <w:t>zionato sacralmente e</w:t>
      </w:r>
      <w:r w:rsidR="00A93AE2">
        <w:rPr>
          <w:rFonts w:ascii="Times New Roman" w:hAnsi="Times New Roman" w:cs="Times New Roman"/>
          <w:sz w:val="24"/>
          <w:szCs w:val="24"/>
        </w:rPr>
        <w:t xml:space="preserve"> spesso in modo so</w:t>
      </w:r>
      <w:r>
        <w:rPr>
          <w:rFonts w:ascii="Times New Roman" w:hAnsi="Times New Roman" w:cs="Times New Roman"/>
          <w:sz w:val="24"/>
          <w:szCs w:val="24"/>
        </w:rPr>
        <w:t>prannaturale, di non comp</w:t>
      </w:r>
      <w:r w:rsidR="00F85395">
        <w:rPr>
          <w:rFonts w:ascii="Times New Roman" w:hAnsi="Times New Roman" w:cs="Times New Roman"/>
          <w:sz w:val="24"/>
          <w:szCs w:val="24"/>
        </w:rPr>
        <w:t>iere (oppure compiere) atti che</w:t>
      </w:r>
      <w:r>
        <w:rPr>
          <w:rFonts w:ascii="Times New Roman" w:hAnsi="Times New Roman" w:cs="Times New Roman"/>
          <w:sz w:val="24"/>
          <w:szCs w:val="24"/>
        </w:rPr>
        <w:t xml:space="preserve"> </w:t>
      </w:r>
      <w:r w:rsidR="00F85395">
        <w:rPr>
          <w:rFonts w:ascii="Times New Roman" w:hAnsi="Times New Roman" w:cs="Times New Roman"/>
          <w:sz w:val="24"/>
          <w:szCs w:val="24"/>
        </w:rPr>
        <w:t>sono generalmente considerati legittimi o permessi</w:t>
      </w:r>
      <w:r>
        <w:rPr>
          <w:rFonts w:ascii="Times New Roman" w:hAnsi="Times New Roman" w:cs="Times New Roman"/>
          <w:sz w:val="24"/>
          <w:szCs w:val="24"/>
        </w:rPr>
        <w:t>.</w:t>
      </w:r>
      <w:r w:rsidR="00F85395">
        <w:rPr>
          <w:rFonts w:ascii="Times New Roman" w:hAnsi="Times New Roman" w:cs="Times New Roman"/>
          <w:sz w:val="24"/>
          <w:szCs w:val="24"/>
        </w:rPr>
        <w:t xml:space="preserve"> U</w:t>
      </w:r>
      <w:r w:rsidR="00E64AFD">
        <w:rPr>
          <w:rFonts w:ascii="Times New Roman" w:hAnsi="Times New Roman" w:cs="Times New Roman"/>
          <w:sz w:val="24"/>
          <w:szCs w:val="24"/>
        </w:rPr>
        <w:t>n tabù n</w:t>
      </w:r>
      <w:r w:rsidR="00F85395">
        <w:rPr>
          <w:rFonts w:ascii="Times New Roman" w:hAnsi="Times New Roman" w:cs="Times New Roman"/>
          <w:sz w:val="24"/>
          <w:szCs w:val="24"/>
        </w:rPr>
        <w:t>o</w:t>
      </w:r>
      <w:r w:rsidR="00E64AFD">
        <w:rPr>
          <w:rFonts w:ascii="Times New Roman" w:hAnsi="Times New Roman" w:cs="Times New Roman"/>
          <w:sz w:val="24"/>
          <w:szCs w:val="24"/>
        </w:rPr>
        <w:t>n è osservato in modo uniforme in tutto il territorio in cui è diffusa la sua credenza</w:t>
      </w:r>
    </w:p>
    <w:p w:rsidR="00F623FD" w:rsidRDefault="00F623FD" w:rsidP="006311D7">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La parola ta</w:t>
      </w:r>
      <w:r w:rsidR="00A93AE2">
        <w:rPr>
          <w:rFonts w:ascii="Times New Roman" w:hAnsi="Times New Roman" w:cs="Times New Roman"/>
          <w:sz w:val="24"/>
          <w:szCs w:val="24"/>
        </w:rPr>
        <w:t>bù ha fatto il suo ingresso in E</w:t>
      </w:r>
      <w:r>
        <w:rPr>
          <w:rFonts w:ascii="Times New Roman" w:hAnsi="Times New Roman" w:cs="Times New Roman"/>
          <w:sz w:val="24"/>
          <w:szCs w:val="24"/>
        </w:rPr>
        <w:t>uropa attraverso le memorie del capitano</w:t>
      </w:r>
      <w:r w:rsidR="00A93AE2">
        <w:rPr>
          <w:rFonts w:ascii="Times New Roman" w:hAnsi="Times New Roman" w:cs="Times New Roman"/>
          <w:sz w:val="24"/>
          <w:szCs w:val="24"/>
        </w:rPr>
        <w:t xml:space="preserve"> </w:t>
      </w:r>
      <w:proofErr w:type="spellStart"/>
      <w:r w:rsidR="00A93AE2">
        <w:rPr>
          <w:rFonts w:ascii="Times New Roman" w:hAnsi="Times New Roman" w:cs="Times New Roman"/>
          <w:sz w:val="24"/>
          <w:szCs w:val="24"/>
        </w:rPr>
        <w:t>J.Cook</w:t>
      </w:r>
      <w:proofErr w:type="spellEnd"/>
      <w:r w:rsidR="00A93AE2">
        <w:rPr>
          <w:rFonts w:ascii="Times New Roman" w:hAnsi="Times New Roman" w:cs="Times New Roman"/>
          <w:sz w:val="24"/>
          <w:szCs w:val="24"/>
        </w:rPr>
        <w:t xml:space="preserve"> (</w:t>
      </w:r>
      <w:r w:rsidR="00A93AE2">
        <w:rPr>
          <w:rFonts w:ascii="Times New Roman" w:hAnsi="Times New Roman" w:cs="Times New Roman"/>
          <w:i/>
          <w:sz w:val="24"/>
          <w:szCs w:val="24"/>
        </w:rPr>
        <w:t>A</w:t>
      </w:r>
      <w:r>
        <w:rPr>
          <w:rFonts w:ascii="Times New Roman" w:hAnsi="Times New Roman" w:cs="Times New Roman"/>
          <w:i/>
          <w:sz w:val="24"/>
          <w:szCs w:val="24"/>
        </w:rPr>
        <w:t xml:space="preserve"> Voyage to Pacific Ocean, 1776-1789) </w:t>
      </w:r>
      <w:r>
        <w:rPr>
          <w:rFonts w:ascii="Times New Roman" w:hAnsi="Times New Roman" w:cs="Times New Roman"/>
          <w:sz w:val="24"/>
          <w:szCs w:val="24"/>
        </w:rPr>
        <w:t xml:space="preserve">che </w:t>
      </w:r>
      <w:r w:rsidR="00A93AE2">
        <w:rPr>
          <w:rFonts w:ascii="Times New Roman" w:hAnsi="Times New Roman" w:cs="Times New Roman"/>
          <w:sz w:val="24"/>
          <w:szCs w:val="24"/>
        </w:rPr>
        <w:t xml:space="preserve">la </w:t>
      </w:r>
      <w:r>
        <w:rPr>
          <w:rFonts w:ascii="Times New Roman" w:hAnsi="Times New Roman" w:cs="Times New Roman"/>
          <w:sz w:val="24"/>
          <w:szCs w:val="24"/>
        </w:rPr>
        <w:t>scop</w:t>
      </w:r>
      <w:r w:rsidR="00A93AE2">
        <w:rPr>
          <w:rFonts w:ascii="Times New Roman" w:hAnsi="Times New Roman" w:cs="Times New Roman"/>
          <w:sz w:val="24"/>
          <w:szCs w:val="24"/>
        </w:rPr>
        <w:t xml:space="preserve">rì a </w:t>
      </w:r>
      <w:proofErr w:type="spellStart"/>
      <w:r w:rsidR="00A93AE2">
        <w:rPr>
          <w:rFonts w:ascii="Times New Roman" w:hAnsi="Times New Roman" w:cs="Times New Roman"/>
          <w:sz w:val="24"/>
          <w:szCs w:val="24"/>
        </w:rPr>
        <w:t>T</w:t>
      </w:r>
      <w:r>
        <w:rPr>
          <w:rFonts w:ascii="Times New Roman" w:hAnsi="Times New Roman" w:cs="Times New Roman"/>
          <w:sz w:val="24"/>
          <w:szCs w:val="24"/>
        </w:rPr>
        <w:t>ongo</w:t>
      </w:r>
      <w:proofErr w:type="spellEnd"/>
      <w:r>
        <w:rPr>
          <w:rFonts w:ascii="Times New Roman" w:hAnsi="Times New Roman" w:cs="Times New Roman"/>
          <w:sz w:val="24"/>
          <w:szCs w:val="24"/>
        </w:rPr>
        <w:t xml:space="preserve"> nel 1777 e ne individuò la diffusione in altre isole. Sulla base delle sue epidermiche osservazioni, Cook giunse ad alcune semplici conclusioni:</w:t>
      </w:r>
    </w:p>
    <w:p w:rsidR="00F623FD" w:rsidRDefault="00E64AFD" w:rsidP="00F623FD">
      <w:pPr>
        <w:pStyle w:val="Paragrafoelenco"/>
        <w:numPr>
          <w:ilvl w:val="0"/>
          <w:numId w:val="4"/>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un tabù non è osservato in modo uniforme in tutto il territorio in cui è diffusa la sua credenza</w:t>
      </w:r>
    </w:p>
    <w:p w:rsidR="00E64AFD" w:rsidRDefault="00E64AFD" w:rsidP="00F623FD">
      <w:pPr>
        <w:pStyle w:val="Paragrafoelenco"/>
        <w:numPr>
          <w:ilvl w:val="0"/>
          <w:numId w:val="4"/>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pur avendo un significato molto ampio, si applica in genere a quelle cose che non devono essere toccate</w:t>
      </w:r>
    </w:p>
    <w:p w:rsidR="00E64AFD" w:rsidRDefault="00E64AFD" w:rsidP="00E64AFD">
      <w:pPr>
        <w:pStyle w:val="Paragrafoelenco"/>
        <w:numPr>
          <w:ilvl w:val="0"/>
          <w:numId w:val="4"/>
        </w:numPr>
        <w:spacing w:after="0" w:line="360" w:lineRule="auto"/>
        <w:ind w:left="1418" w:right="851"/>
        <w:jc w:val="both"/>
        <w:rPr>
          <w:rFonts w:ascii="Times New Roman" w:hAnsi="Times New Roman" w:cs="Times New Roman"/>
          <w:sz w:val="24"/>
          <w:szCs w:val="24"/>
        </w:rPr>
      </w:pPr>
      <w:r>
        <w:rPr>
          <w:rFonts w:ascii="Times New Roman" w:hAnsi="Times New Roman" w:cs="Times New Roman"/>
          <w:sz w:val="24"/>
          <w:szCs w:val="24"/>
        </w:rPr>
        <w:t xml:space="preserve">può accadere che il sistema di </w:t>
      </w:r>
      <w:proofErr w:type="spellStart"/>
      <w:r>
        <w:rPr>
          <w:rFonts w:ascii="Times New Roman" w:hAnsi="Times New Roman" w:cs="Times New Roman"/>
          <w:sz w:val="24"/>
          <w:szCs w:val="24"/>
        </w:rPr>
        <w:t>tabuizazione</w:t>
      </w:r>
      <w:proofErr w:type="spellEnd"/>
      <w:r>
        <w:rPr>
          <w:rFonts w:ascii="Times New Roman" w:hAnsi="Times New Roman" w:cs="Times New Roman"/>
          <w:sz w:val="24"/>
          <w:szCs w:val="24"/>
        </w:rPr>
        <w:t xml:space="preserve"> venga a confondersi con le norme e le leggi di governi locali.</w:t>
      </w:r>
    </w:p>
    <w:p w:rsidR="00E64AFD" w:rsidRDefault="00E64AFD" w:rsidP="00E64AFD">
      <w:pPr>
        <w:spacing w:after="0" w:line="360" w:lineRule="auto"/>
        <w:ind w:right="851"/>
        <w:jc w:val="both"/>
        <w:rPr>
          <w:rFonts w:ascii="Times New Roman" w:hAnsi="Times New Roman" w:cs="Times New Roman"/>
          <w:sz w:val="24"/>
          <w:szCs w:val="24"/>
        </w:rPr>
      </w:pPr>
    </w:p>
    <w:p w:rsidR="00E64AFD" w:rsidRDefault="00E64AFD" w:rsidP="00E64AFD">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 xml:space="preserve">5 . In genere il tabù riguarda alcuni campi: </w:t>
      </w:r>
    </w:p>
    <w:p w:rsidR="00E64AFD" w:rsidRDefault="00E64AFD" w:rsidP="00E64AFD">
      <w:pPr>
        <w:pStyle w:val="Paragrafoelenco"/>
        <w:numPr>
          <w:ilvl w:val="0"/>
          <w:numId w:val="5"/>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tabù di azioni</w:t>
      </w:r>
    </w:p>
    <w:p w:rsidR="00E64AFD" w:rsidRDefault="00E64AFD" w:rsidP="00E64AFD">
      <w:pPr>
        <w:pStyle w:val="Paragrafoelenco"/>
        <w:numPr>
          <w:ilvl w:val="0"/>
          <w:numId w:val="5"/>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tabù di persone</w:t>
      </w:r>
    </w:p>
    <w:p w:rsidR="00E64AFD" w:rsidRDefault="00E64AFD" w:rsidP="00E64AFD">
      <w:pPr>
        <w:pStyle w:val="Paragrafoelenco"/>
        <w:numPr>
          <w:ilvl w:val="0"/>
          <w:numId w:val="5"/>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t>tabù di oggetti</w:t>
      </w:r>
    </w:p>
    <w:p w:rsidR="00E64AFD" w:rsidRDefault="00E64AFD" w:rsidP="00E64AFD">
      <w:pPr>
        <w:pStyle w:val="Paragrafoelenco"/>
        <w:numPr>
          <w:ilvl w:val="0"/>
          <w:numId w:val="5"/>
        </w:numPr>
        <w:spacing w:after="0" w:line="360" w:lineRule="auto"/>
        <w:ind w:right="851"/>
        <w:jc w:val="both"/>
        <w:rPr>
          <w:rFonts w:ascii="Times New Roman" w:hAnsi="Times New Roman" w:cs="Times New Roman"/>
          <w:sz w:val="24"/>
          <w:szCs w:val="24"/>
        </w:rPr>
      </w:pPr>
      <w:r>
        <w:rPr>
          <w:rFonts w:ascii="Times New Roman" w:hAnsi="Times New Roman" w:cs="Times New Roman"/>
          <w:sz w:val="24"/>
          <w:szCs w:val="24"/>
        </w:rPr>
        <w:lastRenderedPageBreak/>
        <w:t>tabù di parole</w:t>
      </w:r>
    </w:p>
    <w:p w:rsidR="00E64AFD" w:rsidRDefault="00E64AFD" w:rsidP="00E64AFD">
      <w:pPr>
        <w:spacing w:after="0" w:line="360" w:lineRule="auto"/>
        <w:ind w:left="851" w:right="851"/>
        <w:jc w:val="both"/>
        <w:rPr>
          <w:rFonts w:ascii="Times New Roman" w:hAnsi="Times New Roman" w:cs="Times New Roman"/>
          <w:sz w:val="24"/>
          <w:szCs w:val="24"/>
        </w:rPr>
      </w:pPr>
    </w:p>
    <w:p w:rsidR="00E64AFD" w:rsidRDefault="00E64AFD" w:rsidP="00E5709C">
      <w:pPr>
        <w:spacing w:after="0" w:line="360" w:lineRule="auto"/>
        <w:ind w:left="851" w:right="851" w:firstLine="142"/>
        <w:jc w:val="both"/>
        <w:rPr>
          <w:rFonts w:ascii="Times New Roman" w:hAnsi="Times New Roman" w:cs="Times New Roman"/>
          <w:sz w:val="24"/>
          <w:szCs w:val="24"/>
        </w:rPr>
      </w:pPr>
      <w:r>
        <w:rPr>
          <w:rFonts w:ascii="Times New Roman" w:hAnsi="Times New Roman" w:cs="Times New Roman"/>
          <w:sz w:val="24"/>
          <w:szCs w:val="24"/>
        </w:rPr>
        <w:t>Il primo campo (azioni) è quello più vasto e può coinvolgere anche uno o più campi successivi. Tra le principali azioni oggetto di tabuizzazione vi sono quelle che vietano di compiere alcune pratiche in certi periodi. Osservando strutturalmente il tema del tabù, cons</w:t>
      </w:r>
      <w:r w:rsidR="00E5709C">
        <w:rPr>
          <w:rFonts w:ascii="Times New Roman" w:hAnsi="Times New Roman" w:cs="Times New Roman"/>
          <w:sz w:val="24"/>
          <w:szCs w:val="24"/>
        </w:rPr>
        <w:t xml:space="preserve">tatiamo che </w:t>
      </w:r>
      <w:r w:rsidR="005268B3">
        <w:rPr>
          <w:rFonts w:ascii="Times New Roman" w:hAnsi="Times New Roman" w:cs="Times New Roman"/>
          <w:sz w:val="24"/>
          <w:szCs w:val="24"/>
        </w:rPr>
        <w:t>tale concetto, pur avendo la sua</w:t>
      </w:r>
      <w:r w:rsidR="00E5709C">
        <w:rPr>
          <w:rFonts w:ascii="Times New Roman" w:hAnsi="Times New Roman" w:cs="Times New Roman"/>
          <w:sz w:val="24"/>
          <w:szCs w:val="24"/>
        </w:rPr>
        <w:t xml:space="preserve"> radice etnologica in aree polinesiana e melanesiana, trova riscontri anche in ambiti molto diversi, sul piano geografico e storico.</w:t>
      </w:r>
    </w:p>
    <w:p w:rsidR="00E5709C" w:rsidRDefault="00E5709C" w:rsidP="00E5709C">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In genere questo è un aspetto particolarmente interessante, il rispetto delle norme tabuizzanti non è sorretto da motivazioni razionali(apparenti) ma dall’adeguarsi a comportamenti tradizionali radicati e condivisi.</w:t>
      </w:r>
    </w:p>
    <w:p w:rsidR="00E5709C" w:rsidRDefault="00E5709C" w:rsidP="00E64AFD">
      <w:pPr>
        <w:spacing w:after="0" w:line="360" w:lineRule="auto"/>
        <w:ind w:left="851" w:right="851"/>
        <w:jc w:val="both"/>
        <w:rPr>
          <w:rFonts w:ascii="Times New Roman" w:hAnsi="Times New Roman" w:cs="Times New Roman"/>
          <w:sz w:val="24"/>
          <w:szCs w:val="24"/>
        </w:rPr>
      </w:pPr>
      <w:r>
        <w:rPr>
          <w:rFonts w:ascii="Times New Roman" w:hAnsi="Times New Roman" w:cs="Times New Roman"/>
          <w:sz w:val="24"/>
          <w:szCs w:val="24"/>
        </w:rPr>
        <w:t>Significativamente l’automatismo della punizione per il violatore della norma, non è correlato a una ben precisa regolamentazione di origine divina, bensì da un meccanismo di azione-reazione di tipo magico.</w:t>
      </w:r>
    </w:p>
    <w:p w:rsidR="00E5709C" w:rsidRDefault="00E5709C" w:rsidP="00E5709C">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Il tabù potrebbe quindi essere considerato come un fatto culturale connesso a situazioni tra loro diverse, e spiegabili solo nella misura in cui è possibile comprenderne la loro natura dinamica all’interno della società.</w:t>
      </w:r>
    </w:p>
    <w:p w:rsidR="00E5709C" w:rsidRDefault="00E5709C" w:rsidP="00E5709C">
      <w:pPr>
        <w:spacing w:after="0" w:line="360" w:lineRule="auto"/>
        <w:ind w:left="851" w:right="851" w:firstLine="283"/>
        <w:jc w:val="both"/>
        <w:rPr>
          <w:rFonts w:ascii="Times New Roman" w:hAnsi="Times New Roman" w:cs="Times New Roman"/>
          <w:sz w:val="24"/>
          <w:szCs w:val="24"/>
        </w:rPr>
      </w:pPr>
      <w:r>
        <w:rPr>
          <w:rFonts w:ascii="Times New Roman" w:hAnsi="Times New Roman" w:cs="Times New Roman"/>
          <w:sz w:val="24"/>
          <w:szCs w:val="24"/>
        </w:rPr>
        <w:t>Il tabù sembrerebbe offrire una sorta di difesa alle condizioni di crisi e di risch</w:t>
      </w:r>
      <w:r w:rsidR="00926CDD">
        <w:rPr>
          <w:rFonts w:ascii="Times New Roman" w:hAnsi="Times New Roman" w:cs="Times New Roman"/>
          <w:sz w:val="24"/>
          <w:szCs w:val="24"/>
        </w:rPr>
        <w:t>i</w:t>
      </w:r>
      <w:r>
        <w:rPr>
          <w:rFonts w:ascii="Times New Roman" w:hAnsi="Times New Roman" w:cs="Times New Roman"/>
          <w:sz w:val="24"/>
          <w:szCs w:val="24"/>
        </w:rPr>
        <w:t xml:space="preserve">o collettivo che aggradiscono la comunità: ad esempio il tabù dell’incesto. In </w:t>
      </w:r>
      <w:r w:rsidR="00926CDD">
        <w:rPr>
          <w:rFonts w:ascii="Times New Roman" w:hAnsi="Times New Roman" w:cs="Times New Roman"/>
          <w:sz w:val="24"/>
          <w:szCs w:val="24"/>
        </w:rPr>
        <w:t>questo modo, per dirla con Di N</w:t>
      </w:r>
      <w:r>
        <w:rPr>
          <w:rFonts w:ascii="Times New Roman" w:hAnsi="Times New Roman" w:cs="Times New Roman"/>
          <w:sz w:val="24"/>
          <w:szCs w:val="24"/>
        </w:rPr>
        <w:t>ola, la dinamica della tabuizzazione coinvolge la dialettica storica delle singole società in cui si afferma</w:t>
      </w:r>
      <w:r w:rsidR="00926CDD">
        <w:rPr>
          <w:rFonts w:ascii="Times New Roman" w:hAnsi="Times New Roman" w:cs="Times New Roman"/>
          <w:sz w:val="24"/>
          <w:szCs w:val="24"/>
        </w:rPr>
        <w:t>. E così la norma è attivata da una reazione di tipo collettivo, fissato dalla tradizione e concernente alcuni fatti e avvenimenti che coinvolgono l’esistenza dell’intera collettività.</w:t>
      </w:r>
    </w:p>
    <w:p w:rsidR="00926CDD" w:rsidRPr="00E64AFD" w:rsidRDefault="00926CDD" w:rsidP="00E5709C">
      <w:pPr>
        <w:spacing w:after="0" w:line="360" w:lineRule="auto"/>
        <w:ind w:left="851" w:right="851" w:firstLine="283"/>
        <w:jc w:val="both"/>
        <w:rPr>
          <w:rFonts w:ascii="Times New Roman" w:hAnsi="Times New Roman" w:cs="Times New Roman"/>
          <w:sz w:val="24"/>
          <w:szCs w:val="24"/>
        </w:rPr>
      </w:pPr>
    </w:p>
    <w:sectPr w:rsidR="00926CDD" w:rsidRPr="00E64AFD" w:rsidSect="00C45C7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45F79"/>
    <w:multiLevelType w:val="hybridMultilevel"/>
    <w:tmpl w:val="890E7EA8"/>
    <w:lvl w:ilvl="0" w:tplc="34BC7B1E">
      <w:start w:val="1"/>
      <w:numFmt w:val="lowerLetter"/>
      <w:lvlText w:val="%1."/>
      <w:lvlJc w:val="left"/>
      <w:pPr>
        <w:ind w:left="1494" w:hanging="360"/>
      </w:pPr>
      <w:rPr>
        <w:rFonts w:hint="default"/>
        <w:i w:val="0"/>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 w15:restartNumberingAfterBreak="0">
    <w:nsid w:val="26B6450B"/>
    <w:multiLevelType w:val="hybridMultilevel"/>
    <w:tmpl w:val="BA664D44"/>
    <w:lvl w:ilvl="0" w:tplc="18DE4C34">
      <w:start w:val="1"/>
      <w:numFmt w:val="lowerLetter"/>
      <w:lvlText w:val="%1."/>
      <w:lvlJc w:val="left"/>
      <w:pPr>
        <w:ind w:left="1776" w:hanging="360"/>
      </w:pPr>
      <w:rPr>
        <w:rFonts w:hint="default"/>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2" w15:restartNumberingAfterBreak="0">
    <w:nsid w:val="4D770B35"/>
    <w:multiLevelType w:val="hybridMultilevel"/>
    <w:tmpl w:val="677A3656"/>
    <w:lvl w:ilvl="0" w:tplc="8BC448B2">
      <w:start w:val="1"/>
      <w:numFmt w:val="lowerLetter"/>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3" w15:restartNumberingAfterBreak="0">
    <w:nsid w:val="4EC51858"/>
    <w:multiLevelType w:val="hybridMultilevel"/>
    <w:tmpl w:val="36303842"/>
    <w:lvl w:ilvl="0" w:tplc="04100001">
      <w:start w:val="1"/>
      <w:numFmt w:val="bullet"/>
      <w:lvlText w:val=""/>
      <w:lvlJc w:val="left"/>
      <w:pPr>
        <w:ind w:left="2560" w:hanging="360"/>
      </w:pPr>
      <w:rPr>
        <w:rFonts w:ascii="Symbol" w:hAnsi="Symbol" w:hint="default"/>
      </w:rPr>
    </w:lvl>
    <w:lvl w:ilvl="1" w:tplc="04100003">
      <w:start w:val="1"/>
      <w:numFmt w:val="bullet"/>
      <w:lvlText w:val="o"/>
      <w:lvlJc w:val="left"/>
      <w:pPr>
        <w:ind w:left="3280" w:hanging="360"/>
      </w:pPr>
      <w:rPr>
        <w:rFonts w:ascii="Courier New" w:hAnsi="Courier New" w:cs="Courier New" w:hint="default"/>
      </w:rPr>
    </w:lvl>
    <w:lvl w:ilvl="2" w:tplc="04100005" w:tentative="1">
      <w:start w:val="1"/>
      <w:numFmt w:val="bullet"/>
      <w:lvlText w:val=""/>
      <w:lvlJc w:val="left"/>
      <w:pPr>
        <w:ind w:left="4000" w:hanging="360"/>
      </w:pPr>
      <w:rPr>
        <w:rFonts w:ascii="Wingdings" w:hAnsi="Wingdings" w:hint="default"/>
      </w:rPr>
    </w:lvl>
    <w:lvl w:ilvl="3" w:tplc="04100001" w:tentative="1">
      <w:start w:val="1"/>
      <w:numFmt w:val="bullet"/>
      <w:lvlText w:val=""/>
      <w:lvlJc w:val="left"/>
      <w:pPr>
        <w:ind w:left="4720" w:hanging="360"/>
      </w:pPr>
      <w:rPr>
        <w:rFonts w:ascii="Symbol" w:hAnsi="Symbol" w:hint="default"/>
      </w:rPr>
    </w:lvl>
    <w:lvl w:ilvl="4" w:tplc="04100003" w:tentative="1">
      <w:start w:val="1"/>
      <w:numFmt w:val="bullet"/>
      <w:lvlText w:val="o"/>
      <w:lvlJc w:val="left"/>
      <w:pPr>
        <w:ind w:left="5440" w:hanging="360"/>
      </w:pPr>
      <w:rPr>
        <w:rFonts w:ascii="Courier New" w:hAnsi="Courier New" w:cs="Courier New" w:hint="default"/>
      </w:rPr>
    </w:lvl>
    <w:lvl w:ilvl="5" w:tplc="04100005" w:tentative="1">
      <w:start w:val="1"/>
      <w:numFmt w:val="bullet"/>
      <w:lvlText w:val=""/>
      <w:lvlJc w:val="left"/>
      <w:pPr>
        <w:ind w:left="6160" w:hanging="360"/>
      </w:pPr>
      <w:rPr>
        <w:rFonts w:ascii="Wingdings" w:hAnsi="Wingdings" w:hint="default"/>
      </w:rPr>
    </w:lvl>
    <w:lvl w:ilvl="6" w:tplc="04100001" w:tentative="1">
      <w:start w:val="1"/>
      <w:numFmt w:val="bullet"/>
      <w:lvlText w:val=""/>
      <w:lvlJc w:val="left"/>
      <w:pPr>
        <w:ind w:left="6880" w:hanging="360"/>
      </w:pPr>
      <w:rPr>
        <w:rFonts w:ascii="Symbol" w:hAnsi="Symbol" w:hint="default"/>
      </w:rPr>
    </w:lvl>
    <w:lvl w:ilvl="7" w:tplc="04100003" w:tentative="1">
      <w:start w:val="1"/>
      <w:numFmt w:val="bullet"/>
      <w:lvlText w:val="o"/>
      <w:lvlJc w:val="left"/>
      <w:pPr>
        <w:ind w:left="7600" w:hanging="360"/>
      </w:pPr>
      <w:rPr>
        <w:rFonts w:ascii="Courier New" w:hAnsi="Courier New" w:cs="Courier New" w:hint="default"/>
      </w:rPr>
    </w:lvl>
    <w:lvl w:ilvl="8" w:tplc="04100005" w:tentative="1">
      <w:start w:val="1"/>
      <w:numFmt w:val="bullet"/>
      <w:lvlText w:val=""/>
      <w:lvlJc w:val="left"/>
      <w:pPr>
        <w:ind w:left="8320" w:hanging="360"/>
      </w:pPr>
      <w:rPr>
        <w:rFonts w:ascii="Wingdings" w:hAnsi="Wingdings" w:hint="default"/>
      </w:rPr>
    </w:lvl>
  </w:abstractNum>
  <w:abstractNum w:abstractNumId="4" w15:restartNumberingAfterBreak="0">
    <w:nsid w:val="52AE22D1"/>
    <w:multiLevelType w:val="hybridMultilevel"/>
    <w:tmpl w:val="82F675FC"/>
    <w:lvl w:ilvl="0" w:tplc="422CFA2E">
      <w:start w:val="1"/>
      <w:numFmt w:val="lowerLetter"/>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EC8"/>
    <w:rsid w:val="000E6982"/>
    <w:rsid w:val="001335E5"/>
    <w:rsid w:val="00173AB8"/>
    <w:rsid w:val="00266EC8"/>
    <w:rsid w:val="00281D52"/>
    <w:rsid w:val="002C04BD"/>
    <w:rsid w:val="003061EB"/>
    <w:rsid w:val="00317909"/>
    <w:rsid w:val="0032028E"/>
    <w:rsid w:val="00324AF9"/>
    <w:rsid w:val="00324FC1"/>
    <w:rsid w:val="00330D66"/>
    <w:rsid w:val="00350219"/>
    <w:rsid w:val="003B43E9"/>
    <w:rsid w:val="00425E0E"/>
    <w:rsid w:val="005105EB"/>
    <w:rsid w:val="005268B3"/>
    <w:rsid w:val="00571D98"/>
    <w:rsid w:val="00574C9F"/>
    <w:rsid w:val="00627C13"/>
    <w:rsid w:val="006311D7"/>
    <w:rsid w:val="006F0679"/>
    <w:rsid w:val="007272E0"/>
    <w:rsid w:val="00771B39"/>
    <w:rsid w:val="007C54FC"/>
    <w:rsid w:val="007D06C3"/>
    <w:rsid w:val="007D25DD"/>
    <w:rsid w:val="007F41DB"/>
    <w:rsid w:val="00806B3C"/>
    <w:rsid w:val="008B02BF"/>
    <w:rsid w:val="00926CDD"/>
    <w:rsid w:val="00975DF1"/>
    <w:rsid w:val="00A2646C"/>
    <w:rsid w:val="00A93AE2"/>
    <w:rsid w:val="00AE3DAC"/>
    <w:rsid w:val="00B509A1"/>
    <w:rsid w:val="00B645FE"/>
    <w:rsid w:val="00BB25CB"/>
    <w:rsid w:val="00BB61E8"/>
    <w:rsid w:val="00BE7297"/>
    <w:rsid w:val="00C45C72"/>
    <w:rsid w:val="00D6031C"/>
    <w:rsid w:val="00DF7B8E"/>
    <w:rsid w:val="00E30810"/>
    <w:rsid w:val="00E44FBA"/>
    <w:rsid w:val="00E5709C"/>
    <w:rsid w:val="00E64AFD"/>
    <w:rsid w:val="00E84E6F"/>
    <w:rsid w:val="00EC1610"/>
    <w:rsid w:val="00F40312"/>
    <w:rsid w:val="00F474F7"/>
    <w:rsid w:val="00F623FD"/>
    <w:rsid w:val="00F74842"/>
    <w:rsid w:val="00F85395"/>
    <w:rsid w:val="00FB02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E1F83"/>
  <w15:chartTrackingRefBased/>
  <w15:docId w15:val="{66754DBD-B778-498E-86CF-ECEB0EA5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B0285"/>
    <w:pPr>
      <w:spacing w:line="256" w:lineRule="auto"/>
    </w:pPr>
  </w:style>
  <w:style w:type="paragraph" w:styleId="Titolo1">
    <w:name w:val="heading 1"/>
    <w:basedOn w:val="Normale"/>
    <w:next w:val="Normale"/>
    <w:link w:val="Titolo1Carattere"/>
    <w:uiPriority w:val="9"/>
    <w:qFormat/>
    <w:rsid w:val="00FB0285"/>
    <w:pPr>
      <w:keepNext/>
      <w:keepLines/>
      <w:spacing w:before="240" w:after="0" w:line="240" w:lineRule="auto"/>
      <w:ind w:firstLine="284"/>
      <w:jc w:val="both"/>
      <w:outlineLvl w:val="0"/>
    </w:pPr>
    <w:rPr>
      <w:rFonts w:asciiTheme="majorHAnsi" w:eastAsiaTheme="majorEastAsia" w:hAnsiTheme="majorHAnsi" w:cstheme="majorBidi"/>
      <w:color w:val="2E74B5" w:themeColor="accent1" w:themeShade="BF"/>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0285"/>
    <w:rPr>
      <w:rFonts w:asciiTheme="majorHAnsi" w:eastAsiaTheme="majorEastAsia" w:hAnsiTheme="majorHAnsi" w:cstheme="majorBidi"/>
      <w:color w:val="2E74B5" w:themeColor="accent1" w:themeShade="BF"/>
      <w:sz w:val="32"/>
      <w:szCs w:val="32"/>
      <w:lang w:eastAsia="it-IT"/>
    </w:rPr>
  </w:style>
  <w:style w:type="paragraph" w:styleId="Paragrafoelenco">
    <w:name w:val="List Paragraph"/>
    <w:basedOn w:val="Normale"/>
    <w:uiPriority w:val="34"/>
    <w:qFormat/>
    <w:rsid w:val="00BE72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39764">
      <w:bodyDiv w:val="1"/>
      <w:marLeft w:val="0"/>
      <w:marRight w:val="0"/>
      <w:marTop w:val="0"/>
      <w:marBottom w:val="0"/>
      <w:divBdr>
        <w:top w:val="none" w:sz="0" w:space="0" w:color="auto"/>
        <w:left w:val="none" w:sz="0" w:space="0" w:color="auto"/>
        <w:bottom w:val="none" w:sz="0" w:space="0" w:color="auto"/>
        <w:right w:val="none" w:sz="0" w:space="0" w:color="auto"/>
      </w:divBdr>
    </w:div>
    <w:div w:id="148800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562</TotalTime>
  <Pages>4</Pages>
  <Words>1198</Words>
  <Characters>6833</Characters>
  <Application>Microsoft Office Word</Application>
  <DocSecurity>0</DocSecurity>
  <Lines>56</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admin</cp:lastModifiedBy>
  <cp:revision>44</cp:revision>
  <dcterms:created xsi:type="dcterms:W3CDTF">2026-06-10T12:58:00Z</dcterms:created>
  <dcterms:modified xsi:type="dcterms:W3CDTF">2026-11-03T07:23:00Z</dcterms:modified>
</cp:coreProperties>
</file>